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2E" w:rsidRDefault="00D074D8">
      <w:pPr>
        <w:pStyle w:val="50"/>
        <w:framePr w:w="221" w:h="3845" w:hRule="exact" w:wrap="none" w:vAnchor="page" w:hAnchor="page" w:x="560" w:y="1261"/>
        <w:shd w:val="clear" w:color="auto" w:fill="auto"/>
        <w:spacing w:line="140" w:lineRule="exact"/>
        <w:textDirection w:val="btLr"/>
      </w:pPr>
      <w:r>
        <w:t>ЮРИДИЧНИЙ РАДНИК № 4 (18), серпень, 2007 рік</w:t>
      </w:r>
    </w:p>
    <w:p w:rsidR="00900B2E" w:rsidRDefault="00D074D8">
      <w:pPr>
        <w:pStyle w:val="20"/>
        <w:framePr w:wrap="none" w:vAnchor="page" w:hAnchor="page" w:x="618" w:y="522"/>
        <w:shd w:val="clear" w:color="auto" w:fill="auto"/>
        <w:spacing w:line="480" w:lineRule="exact"/>
      </w:pPr>
      <w:r>
        <w:t>76</w:t>
      </w:r>
    </w:p>
    <w:p w:rsidR="00900B2E" w:rsidRDefault="00D074D8">
      <w:pPr>
        <w:pStyle w:val="a5"/>
        <w:framePr w:wrap="none" w:vAnchor="page" w:hAnchor="page" w:x="1410" w:y="733"/>
        <w:shd w:val="clear" w:color="auto" w:fill="auto"/>
        <w:spacing w:line="180" w:lineRule="exact"/>
      </w:pPr>
      <w:r>
        <w:t>Огляди та коментарі</w:t>
      </w:r>
    </w:p>
    <w:p w:rsidR="00900B2E" w:rsidRDefault="00D074D8">
      <w:pPr>
        <w:pStyle w:val="10"/>
        <w:framePr w:wrap="none" w:vAnchor="page" w:hAnchor="page" w:x="1002" w:y="2802"/>
        <w:shd w:val="clear" w:color="auto" w:fill="auto"/>
        <w:spacing w:after="0" w:line="280" w:lineRule="exact"/>
        <w:ind w:left="360"/>
      </w:pPr>
      <w:bookmarkStart w:id="0" w:name="bookmark0"/>
      <w:r>
        <w:t>ОБГОВОРЕННЯ КОНЦЕПЦІЇ КРИМІНАЛЬНОГО ПРОСТУПКУ</w:t>
      </w:r>
      <w:bookmarkEnd w:id="0"/>
    </w:p>
    <w:p w:rsidR="00900B2E" w:rsidRDefault="00D074D8">
      <w:pPr>
        <w:pStyle w:val="22"/>
        <w:framePr w:w="9403" w:h="567" w:hRule="exact" w:wrap="none" w:vAnchor="page" w:hAnchor="page" w:x="1002" w:y="3272"/>
        <w:shd w:val="clear" w:color="auto" w:fill="auto"/>
        <w:spacing w:before="0" w:after="27" w:line="220" w:lineRule="exact"/>
      </w:pPr>
      <w:bookmarkStart w:id="1" w:name="bookmark1"/>
      <w:r>
        <w:t>Павел ФРИС</w:t>
      </w:r>
      <w:bookmarkEnd w:id="1"/>
    </w:p>
    <w:p w:rsidR="00900B2E" w:rsidRDefault="00D074D8">
      <w:pPr>
        <w:pStyle w:val="22"/>
        <w:framePr w:w="9403" w:h="567" w:hRule="exact" w:wrap="none" w:vAnchor="page" w:hAnchor="page" w:x="1002" w:y="3272"/>
        <w:shd w:val="clear" w:color="auto" w:fill="auto"/>
        <w:spacing w:before="0" w:after="0" w:line="220" w:lineRule="exact"/>
      </w:pPr>
      <w:bookmarkStart w:id="2" w:name="bookmark2"/>
      <w:r>
        <w:t>ОБСУЖДЕНИЕ КОНЦЕПЦИИ УГОЛОВНОГО ПРОСТУПКА</w:t>
      </w:r>
      <w:bookmarkEnd w:id="2"/>
    </w:p>
    <w:p w:rsidR="00900B2E" w:rsidRDefault="00D074D8">
      <w:pPr>
        <w:pStyle w:val="30"/>
        <w:framePr w:w="9403" w:h="2443" w:hRule="exact" w:wrap="none" w:vAnchor="page" w:hAnchor="page" w:x="1002" w:y="4064"/>
        <w:shd w:val="clear" w:color="auto" w:fill="auto"/>
        <w:spacing w:before="0"/>
        <w:ind w:left="360"/>
      </w:pPr>
      <w:r>
        <w:t>■ У статті розглянуто необхідність усвідомлення змісту нового для національного законо</w:t>
      </w:r>
      <w:r>
        <w:softHyphen/>
      </w:r>
      <w:r>
        <w:t>давства інституту - інституту кримінального проступку, визначення сфери застосування, основних характеристик (ознак, складу).</w:t>
      </w:r>
    </w:p>
    <w:p w:rsidR="006D002C" w:rsidRDefault="00D074D8">
      <w:pPr>
        <w:pStyle w:val="30"/>
        <w:framePr w:w="9403" w:h="2443" w:hRule="exact" w:wrap="none" w:vAnchor="page" w:hAnchor="page" w:x="1002" w:y="4064"/>
        <w:shd w:val="clear" w:color="auto" w:fill="auto"/>
        <w:spacing w:before="0"/>
        <w:ind w:firstLine="700"/>
        <w:jc w:val="left"/>
        <w:rPr>
          <w:rStyle w:val="395pt"/>
        </w:rPr>
      </w:pPr>
      <w:r>
        <w:rPr>
          <w:rStyle w:val="395pt"/>
        </w:rPr>
        <w:t xml:space="preserve">Ключові слова: інститут кримінального проступку кримінальний проступок, декриміналіза- ція, адмінправопорушення, адмінпроступок, злочин, </w:t>
      </w:r>
    </w:p>
    <w:p w:rsidR="00900B2E" w:rsidRDefault="00D074D8">
      <w:pPr>
        <w:pStyle w:val="30"/>
        <w:framePr w:w="9403" w:h="2443" w:hRule="exact" w:wrap="none" w:vAnchor="page" w:hAnchor="page" w:x="1002" w:y="4064"/>
        <w:shd w:val="clear" w:color="auto" w:fill="auto"/>
        <w:spacing w:before="0"/>
        <w:ind w:firstLine="700"/>
        <w:jc w:val="left"/>
      </w:pPr>
      <w:r>
        <w:t xml:space="preserve"> В статье рассмотрен ряд вопросов: необходимость осознания содержания нового для на</w:t>
      </w:r>
      <w:r>
        <w:t>ционального законодательства инст</w:t>
      </w:r>
      <w:r>
        <w:t>итута</w:t>
      </w:r>
      <w:r w:rsidR="006D002C">
        <w:t xml:space="preserve"> </w:t>
      </w:r>
      <w:r>
        <w:t>- института уголовного проступка, определения сфер</w:t>
      </w:r>
      <w:r w:rsidR="006D002C">
        <w:rPr>
          <w:lang w:val="ru-RU"/>
        </w:rPr>
        <w:t>ы</w:t>
      </w:r>
      <w:r>
        <w:t xml:space="preserve"> применения, основньїх характеристик (признаков, состава)</w:t>
      </w:r>
    </w:p>
    <w:p w:rsidR="00900B2E" w:rsidRDefault="00D074D8">
      <w:pPr>
        <w:pStyle w:val="40"/>
        <w:framePr w:w="9403" w:h="2443" w:hRule="exact" w:wrap="none" w:vAnchor="page" w:hAnchor="page" w:x="1002" w:y="4064"/>
        <w:shd w:val="clear" w:color="auto" w:fill="auto"/>
        <w:spacing w:after="0"/>
        <w:ind w:left="700"/>
      </w:pPr>
      <w:r>
        <w:t>Ключев</w:t>
      </w:r>
      <w:r w:rsidR="006D002C">
        <w:rPr>
          <w:lang w:val="ru-RU"/>
        </w:rPr>
        <w:t>ы</w:t>
      </w:r>
      <w:r>
        <w:t>е слова: институт уголовного проступка, уголовн</w:t>
      </w:r>
      <w:r w:rsidR="006D002C">
        <w:rPr>
          <w:lang w:val="ru-RU"/>
        </w:rPr>
        <w:t>ы</w:t>
      </w:r>
      <w:r>
        <w:t>й проступок, декриминализа</w:t>
      </w:r>
      <w:r>
        <w:t>ция, админправонарушение, админпроступок, преступпение.</w:t>
      </w:r>
    </w:p>
    <w:p w:rsidR="00900B2E" w:rsidRDefault="00D074D8">
      <w:pPr>
        <w:pStyle w:val="60"/>
        <w:framePr w:w="1978" w:h="2021" w:hRule="exact" w:wrap="none" w:vAnchor="page" w:hAnchor="page" w:x="1002" w:y="6595"/>
        <w:shd w:val="clear" w:color="auto" w:fill="auto"/>
      </w:pPr>
      <w:r>
        <w:t>Павло ФРІС,</w:t>
      </w:r>
    </w:p>
    <w:p w:rsidR="00900B2E" w:rsidRDefault="00D074D8">
      <w:pPr>
        <w:pStyle w:val="70"/>
        <w:framePr w:w="1978" w:h="2021" w:hRule="exact" w:wrap="none" w:vAnchor="page" w:hAnchor="page" w:x="1002" w:y="6595"/>
        <w:shd w:val="clear" w:color="auto" w:fill="auto"/>
      </w:pPr>
      <w:r>
        <w:t>доктор юридичних наук, професор кафедри кримінального права та кримінології Прикарпатського юри</w:t>
      </w:r>
      <w:r>
        <w:softHyphen/>
        <w:t>дичного інституту Львівського державного університету внутрішніх справ</w:t>
      </w:r>
    </w:p>
    <w:p w:rsidR="00900B2E" w:rsidRDefault="00D074D8">
      <w:pPr>
        <w:pStyle w:val="a7"/>
        <w:framePr w:wrap="none" w:vAnchor="page" w:hAnchor="page" w:x="983" w:y="14317"/>
        <w:shd w:val="clear" w:color="auto" w:fill="auto"/>
        <w:spacing w:line="400" w:lineRule="exact"/>
        <w:jc w:val="both"/>
      </w:pPr>
      <w:r>
        <w:rPr>
          <w:rStyle w:val="20pt"/>
        </w:rPr>
        <w:t>ґ-йо</w:t>
      </w:r>
    </w:p>
    <w:p w:rsidR="00900B2E" w:rsidRDefault="00D074D8">
      <w:pPr>
        <w:pStyle w:val="24"/>
        <w:framePr w:wrap="none" w:vAnchor="page" w:hAnchor="page" w:x="1933" w:y="14346"/>
        <w:shd w:val="clear" w:color="auto" w:fill="auto"/>
        <w:spacing w:line="90" w:lineRule="exact"/>
      </w:pPr>
      <w:r>
        <w:t>юристі* України</w:t>
      </w:r>
    </w:p>
    <w:p w:rsidR="00900B2E" w:rsidRDefault="00D074D8">
      <w:pPr>
        <w:pStyle w:val="a9"/>
        <w:framePr w:wrap="none" w:vAnchor="page" w:hAnchor="page" w:x="896" w:y="14970"/>
        <w:shd w:val="clear" w:color="auto" w:fill="auto"/>
        <w:spacing w:line="130" w:lineRule="exact"/>
      </w:pPr>
      <w:r>
        <w:t>ЮРИДИЧНИЙ РАДНИК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 xml:space="preserve">Дискусія, яка розгорнулась останнім </w:t>
      </w:r>
      <w:r>
        <w:t>часом серед науковців у зв’язку зі</w:t>
      </w:r>
      <w:r>
        <w:br/>
        <w:t>схваленням Національною комісією зі зміцнення демократії та утверджен-</w:t>
      </w:r>
      <w:r>
        <w:br/>
        <w:t>ня верховенства права «Концепції державної політики у сфері кримінальної</w:t>
      </w:r>
      <w:r>
        <w:br/>
        <w:t>юстиції та забезпечення правопорядку в Україні», передбачає необхідність</w:t>
      </w:r>
      <w:r>
        <w:br/>
        <w:t>усві</w:t>
      </w:r>
      <w:r>
        <w:t>домлення змісту нового для національного законодавства інституту -</w:t>
      </w:r>
      <w:r>
        <w:br/>
      </w:r>
      <w:r>
        <w:rPr>
          <w:rStyle w:val="27"/>
        </w:rPr>
        <w:t>інституту кримінального проступку.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>Кримінальний кодекс України № 2341-III від 5 квітня 2001 р. (далі -КК</w:t>
      </w:r>
      <w:r>
        <w:br/>
        <w:t>України) [1] концептуально мало чим відрізняється від свого попередника.</w:t>
      </w:r>
      <w:r>
        <w:br/>
        <w:t>П'ятирічний</w:t>
      </w:r>
      <w:r>
        <w:t xml:space="preserve"> досвід його застосування виявив низку проблем, які виразно</w:t>
      </w:r>
      <w:r>
        <w:br/>
        <w:t>позначили необхідність його подальшого вдосконалювання. Серед питань,</w:t>
      </w:r>
      <w:r>
        <w:br/>
        <w:t>що вимагають рішення (удосконалювання формулювання підстав кримі-</w:t>
      </w:r>
      <w:r>
        <w:br/>
        <w:t>нальної відповідальності, зворотної чинності кримінального з</w:t>
      </w:r>
      <w:r>
        <w:t>акону в часі,</w:t>
      </w:r>
      <w:r>
        <w:br/>
        <w:t>обмеження його застосування щодо осіб у віці до 16 років, приведення</w:t>
      </w:r>
      <w:r>
        <w:br/>
        <w:t>у відповідність теоретичних концепцій форм співучасті до їхніх норма-</w:t>
      </w:r>
      <w:r>
        <w:br/>
        <w:t>тивним закріпленням і т. д.), однією з найважливіших є обмеження обсягу</w:t>
      </w:r>
      <w:r>
        <w:br/>
        <w:t xml:space="preserve">кримінального переслідування - </w:t>
      </w:r>
      <w:r>
        <w:t>скорочення Особливої частини Кримі-</w:t>
      </w:r>
      <w:r>
        <w:br/>
        <w:t>нального кодексу.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>У цьому зв’язку слід звернутися до концепції кримінального законо-</w:t>
      </w:r>
      <w:r>
        <w:br/>
        <w:t>давства, сформульованої в 90-х роках минулого сторіччя - концепції неве-</w:t>
      </w:r>
      <w:r>
        <w:br/>
        <w:t>ликого, але жорсткого Кримінального кодексу.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>Вирішити це завда</w:t>
      </w:r>
      <w:r>
        <w:t>ння дає можливість упровадження інституту кримі-</w:t>
      </w:r>
      <w:r>
        <w:br/>
        <w:t>нального проступку, який добре відомий законодавству багатьох країн сві-</w:t>
      </w:r>
      <w:r>
        <w:br/>
        <w:t>ту (Польща, Німеччина, Франція та деякі інші країни).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>Одразу слід зауважити, що серед колег-криміналістів ідея впроваджен-</w:t>
      </w:r>
      <w:r>
        <w:br/>
        <w:t>ня цього ін</w:t>
      </w:r>
      <w:r>
        <w:t xml:space="preserve">ституту не зустріла одностайної підтримки. При цьому </w:t>
      </w:r>
      <w:r>
        <w:rPr>
          <w:rStyle w:val="27"/>
        </w:rPr>
        <w:t>сопіга</w:t>
      </w:r>
      <w:r>
        <w:rPr>
          <w:rStyle w:val="27"/>
        </w:rPr>
        <w:br/>
      </w:r>
      <w:r>
        <w:t>виступили представники різних наукових шкіл. Одночасно й прихильники</w:t>
      </w:r>
      <w:r>
        <w:br/>
        <w:t>цієї ідеї представляють різні наукові школи.</w:t>
      </w:r>
    </w:p>
    <w:p w:rsidR="00900B2E" w:rsidRDefault="00D074D8">
      <w:pPr>
        <w:pStyle w:val="26"/>
        <w:framePr w:w="9403" w:h="8547" w:hRule="exact" w:wrap="none" w:vAnchor="page" w:hAnchor="page" w:x="1002" w:y="6528"/>
        <w:shd w:val="clear" w:color="auto" w:fill="auto"/>
        <w:spacing w:before="0"/>
        <w:ind w:left="2007" w:firstLine="360"/>
      </w:pPr>
      <w:r>
        <w:t>18-20 травня цього року в Івано-Франківській області на базі пансіона-</w:t>
      </w:r>
      <w:r>
        <w:br/>
        <w:t>ту «Синього</w:t>
      </w:r>
      <w:r>
        <w:t>ра» (с. Гута) у межах науково-теоретичного семінару кафедри</w:t>
      </w:r>
      <w:r>
        <w:br/>
        <w:t>кримінального права та кримінології Прикарпатського юридичного інсти-</w:t>
      </w:r>
      <w:r>
        <w:br/>
        <w:t>туту Львівського державного університету внутрішніх справ відбулось об-</w:t>
      </w:r>
    </w:p>
    <w:p w:rsidR="00900B2E" w:rsidRDefault="006D002C">
      <w:pPr>
        <w:rPr>
          <w:sz w:val="2"/>
          <w:szCs w:val="2"/>
        </w:rPr>
        <w:sectPr w:rsidR="00900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751205</wp:posOffset>
            </wp:positionH>
            <wp:positionV relativeFrom="page">
              <wp:posOffset>9352915</wp:posOffset>
            </wp:positionV>
            <wp:extent cx="865505" cy="152400"/>
            <wp:effectExtent l="0" t="0" r="0" b="0"/>
            <wp:wrapNone/>
            <wp:docPr id="2" name="Рисунок 2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2E" w:rsidRDefault="00D074D8">
      <w:pPr>
        <w:pStyle w:val="a5"/>
        <w:framePr w:wrap="none" w:vAnchor="page" w:hAnchor="page" w:x="7856" w:y="1503"/>
        <w:shd w:val="clear" w:color="auto" w:fill="auto"/>
        <w:spacing w:line="180" w:lineRule="exact"/>
      </w:pPr>
      <w:r>
        <w:lastRenderedPageBreak/>
        <w:t>Огляди та коментарі</w:t>
      </w:r>
    </w:p>
    <w:p w:rsidR="00900B2E" w:rsidRDefault="00D074D8">
      <w:pPr>
        <w:pStyle w:val="26"/>
        <w:framePr w:w="4670" w:h="13945" w:hRule="exact" w:wrap="none" w:vAnchor="page" w:hAnchor="page" w:x="1107" w:y="1975"/>
        <w:shd w:val="clear" w:color="auto" w:fill="auto"/>
        <w:spacing w:before="0"/>
        <w:ind w:firstLine="0"/>
      </w:pPr>
      <w:r>
        <w:t>говорення вказаної «Концепції</w:t>
      </w:r>
      <w:r w:rsidR="006D002C">
        <w:t>»</w:t>
      </w:r>
      <w:r>
        <w:t>.</w:t>
      </w:r>
      <w:r w:rsidR="006D002C">
        <w:t xml:space="preserve"> </w:t>
      </w:r>
      <w:r>
        <w:t xml:space="preserve">Співоргані- заторами обговорення виступили: Національна комісія зі зміцнення демократії та </w:t>
      </w:r>
      <w:r>
        <w:t>утвердження верховенства права, Центр політико-правових реформ, Офіс представника програм ОБОЄ в Україні. У роботі семінару взяли участь пред</w:t>
      </w:r>
      <w:r>
        <w:softHyphen/>
        <w:t xml:space="preserve">ставники Секретаріату Президента України, наукових установ та навчальних закладів з усіх регіонів, учені в галузі </w:t>
      </w:r>
      <w:r>
        <w:t>кримінального та адміністративного права. Учасники практично одностайно висловилися за необхідність про</w:t>
      </w:r>
      <w:r>
        <w:softHyphen/>
        <w:t>ведення вдосконалення чинного КК України у двох напрямах. Перший - це вдосконалюван</w:t>
      </w:r>
      <w:r>
        <w:softHyphen/>
        <w:t>ня існуючого кримінального закону (особливо норм Загальної частини).</w:t>
      </w:r>
      <w:r>
        <w:t xml:space="preserve"> Другий - звуження сфери кримінальної репресії, декриміналізація значної кількості діянь, які визнаються на сьо</w:t>
      </w:r>
      <w:r>
        <w:softHyphen/>
        <w:t>годні злочинними.</w:t>
      </w:r>
    </w:p>
    <w:p w:rsidR="00900B2E" w:rsidRDefault="00D074D8">
      <w:pPr>
        <w:pStyle w:val="26"/>
        <w:framePr w:w="4670" w:h="13945" w:hRule="exact" w:wrap="none" w:vAnchor="page" w:hAnchor="page" w:x="1107" w:y="1975"/>
        <w:shd w:val="clear" w:color="auto" w:fill="auto"/>
        <w:spacing w:before="0"/>
        <w:ind w:firstLine="440"/>
      </w:pPr>
      <w:r>
        <w:t>Дискусія, яка розгорнулась, торкалась низ</w:t>
      </w:r>
      <w:r>
        <w:softHyphen/>
        <w:t xml:space="preserve">ки питань: необхідності усвідомлення змісте нового для національного законодавства </w:t>
      </w:r>
      <w:r>
        <w:t>інс</w:t>
      </w:r>
      <w:r>
        <w:softHyphen/>
        <w:t xml:space="preserve">титуту — </w:t>
      </w:r>
      <w:r>
        <w:rPr>
          <w:rStyle w:val="27"/>
        </w:rPr>
        <w:t>інституту кримінального проступку, визначення сфери застосування, основних ха</w:t>
      </w:r>
      <w:r>
        <w:rPr>
          <w:rStyle w:val="27"/>
        </w:rPr>
        <w:softHyphen/>
        <w:t>рактеристик (ознак, складу) тощо.</w:t>
      </w:r>
    </w:p>
    <w:p w:rsidR="00900B2E" w:rsidRDefault="00D074D8">
      <w:pPr>
        <w:pStyle w:val="26"/>
        <w:framePr w:w="4670" w:h="13945" w:hRule="exact" w:wrap="none" w:vAnchor="page" w:hAnchor="page" w:x="1107" w:y="1975"/>
        <w:shd w:val="clear" w:color="auto" w:fill="auto"/>
        <w:spacing w:before="0"/>
        <w:ind w:firstLine="440"/>
      </w:pPr>
      <w:r>
        <w:t>На думку авторів Концепції, яка була під</w:t>
      </w:r>
      <w:r>
        <w:softHyphen/>
        <w:t>тримана всіма учасниками, це законодавство має стати буфером між адміністративними проступ</w:t>
      </w:r>
      <w:r>
        <w:t>ками та злочинами, увібравши в себе частину декриміналізованих злочинів, части</w:t>
      </w:r>
      <w:r>
        <w:softHyphen/>
        <w:t>ну «криміналізованих» адмінправопорушень і, можливо, частину нових, на сьогодні ще не- визначених, діянь, ступінь шкідливості яких вищий, ніж у адмінпроступків, але нижчий за су</w:t>
      </w:r>
      <w:r>
        <w:t>спільну небезпеку, притаманну злочинам. їх коло має бути визначено в процесі розробки за</w:t>
      </w:r>
      <w:r>
        <w:softHyphen/>
        <w:t>конодавства про кримінальні проступки.</w:t>
      </w:r>
    </w:p>
    <w:p w:rsidR="00900B2E" w:rsidRDefault="00D074D8">
      <w:pPr>
        <w:pStyle w:val="26"/>
        <w:framePr w:w="4670" w:h="13945" w:hRule="exact" w:wrap="none" w:vAnchor="page" w:hAnchor="page" w:x="1107" w:y="1975"/>
        <w:shd w:val="clear" w:color="auto" w:fill="auto"/>
        <w:spacing w:before="0"/>
        <w:ind w:firstLine="440"/>
      </w:pPr>
      <w:r>
        <w:t>Можливо, що ми є свідками створення но</w:t>
      </w:r>
      <w:r>
        <w:softHyphen/>
        <w:t>вої галузі права. Аргументом на користь цьо</w:t>
      </w:r>
      <w:r>
        <w:softHyphen/>
        <w:t xml:space="preserve">го є, у першу чергу, </w:t>
      </w:r>
      <w:r>
        <w:rPr>
          <w:rStyle w:val="27"/>
        </w:rPr>
        <w:t xml:space="preserve">самостійність об’єктів </w:t>
      </w:r>
      <w:r>
        <w:rPr>
          <w:rStyle w:val="27"/>
        </w:rPr>
        <w:t>кримінально-правової охорони.</w:t>
      </w:r>
      <w:r>
        <w:t xml:space="preserve"> Вона визнача</w:t>
      </w:r>
      <w:r>
        <w:softHyphen/>
        <w:t>тиметься на підставі оцінки матеріальної озна</w:t>
      </w:r>
      <w:r>
        <w:softHyphen/>
        <w:t xml:space="preserve">ки, якою є </w:t>
      </w:r>
      <w:r>
        <w:rPr>
          <w:rStyle w:val="27"/>
        </w:rPr>
        <w:t>соціальна шкідливість діяння.</w:t>
      </w:r>
      <w:r>
        <w:t xml:space="preserve"> Оцін</w:t>
      </w:r>
      <w:r>
        <w:softHyphen/>
        <w:t>ку матеріальної ознаки - чи маємо ми справу із суспільно-небезпечним діянням, чи із со</w:t>
      </w:r>
      <w:r>
        <w:softHyphen/>
        <w:t>ціально шкідливим - повинен давати</w:t>
      </w:r>
      <w:r>
        <w:t xml:space="preserve"> саме за</w:t>
      </w:r>
      <w:r>
        <w:softHyphen/>
        <w:t>конодавець (до речі, Законодавець Республіки Польща при кодифікації кримінального зако</w:t>
      </w:r>
      <w:r>
        <w:softHyphen/>
        <w:t>нодавства в 1997 р. відмовився від визначення злочину через ознаку його суспільної небезпе</w:t>
      </w:r>
      <w:r>
        <w:softHyphen/>
        <w:t>ки, пояснивши це тим, що суспільна небезпека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firstLine="0"/>
      </w:pPr>
      <w:r>
        <w:t>є оціночною категорією д</w:t>
      </w:r>
      <w:r>
        <w:t>ля Законодавця, тоді</w:t>
      </w:r>
      <w:r>
        <w:br/>
        <w:t>як на рівні конкретного діяння його ознакою</w:t>
      </w:r>
      <w:r>
        <w:br/>
        <w:t>є спричинена шкода). Виділяючи категорію</w:t>
      </w:r>
      <w:r>
        <w:br/>
        <w:t>кримінальних провин, Законодавець цим виді-</w:t>
      </w:r>
      <w:r>
        <w:br/>
        <w:t>ляє і новий об’єкт, який вимагає специфічної</w:t>
      </w:r>
      <w:r>
        <w:br/>
        <w:t>правової охорони. Цей об’єкт достатньо ве-</w:t>
      </w:r>
      <w:r>
        <w:br/>
        <w:t>ликий і його охоро</w:t>
      </w:r>
      <w:r>
        <w:t>на буде здійснюватися спе-</w:t>
      </w:r>
      <w:r>
        <w:br/>
        <w:t>цифічними методами.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firstLine="440"/>
      </w:pPr>
      <w:r>
        <w:t>Якщо ж стати на позицію, що йдеться</w:t>
      </w:r>
      <w:r>
        <w:br/>
        <w:t>про подальший розвиток уже існуючої галузі</w:t>
      </w:r>
      <w:r>
        <w:br/>
        <w:t>права, то виникає питання - якої саме? Якщо</w:t>
      </w:r>
      <w:r>
        <w:br/>
        <w:t>кримінального права, то необхідно стверджу-</w:t>
      </w:r>
      <w:r>
        <w:br/>
        <w:t>вати, що буде проведено суттєву криміналіз</w:t>
      </w:r>
      <w:r>
        <w:t>а-</w:t>
      </w:r>
      <w:r>
        <w:br/>
        <w:t>цію (що аж ніяк не відповідає основній лінії</w:t>
      </w:r>
      <w:r>
        <w:br/>
        <w:t>вітчизняної кримінально-правової політики*.</w:t>
      </w:r>
      <w:r>
        <w:br/>
        <w:t>Якщо адміністративного права, т: як пояснити</w:t>
      </w:r>
      <w:r>
        <w:br/>
        <w:t>появу в адмініст</w:t>
      </w:r>
      <w:r w:rsidR="006D002C">
        <w:t>ра</w:t>
      </w:r>
      <w:r>
        <w:t>ти</w:t>
      </w:r>
      <w:r w:rsidR="006D002C">
        <w:t>вній сфері кримінальної</w:t>
      </w:r>
      <w:r>
        <w:br/>
        <w:t>провини?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firstLine="440"/>
      </w:pPr>
      <w:r>
        <w:t>Значну уваг. б</w:t>
      </w:r>
      <w:r w:rsidR="006D002C">
        <w:t>уло</w:t>
      </w:r>
      <w:r>
        <w:t xml:space="preserve"> приділено анал</w:t>
      </w:r>
      <w:r w:rsidR="006D002C">
        <w:t>і</w:t>
      </w:r>
      <w:r>
        <w:t>з</w:t>
      </w:r>
      <w:r w:rsidR="006D002C">
        <w:t>і</w:t>
      </w:r>
      <w:r>
        <w:t xml:space="preserve"> спів-</w:t>
      </w:r>
      <w:r>
        <w:br/>
        <w:t>відношення «адміністрат</w:t>
      </w:r>
      <w:r>
        <w:t>ивного проступку»,</w:t>
      </w:r>
      <w:r>
        <w:br/>
        <w:t>«кримінального проступку» і «злочину». Вба-</w:t>
      </w:r>
      <w:r>
        <w:br/>
        <w:t>чається, що вододіл між ними проходить по</w:t>
      </w:r>
      <w:r>
        <w:br/>
        <w:t>лінії оцінки ступеня небезпечності наслідків</w:t>
      </w:r>
      <w:r>
        <w:br/>
        <w:t>цих деліктів. Для злочинів це, безсумнівно,</w:t>
      </w:r>
      <w:r>
        <w:br/>
        <w:t>суспільна небезпечність. Для адмінправопору-</w:t>
      </w:r>
      <w:r>
        <w:br/>
        <w:t>шень - шкода. Кри</w:t>
      </w:r>
      <w:r>
        <w:t>мінальні проступки повинні</w:t>
      </w:r>
      <w:r>
        <w:br/>
        <w:t>охоплювати діяння, наслідки яких мають виз-</w:t>
      </w:r>
      <w:r>
        <w:br/>
        <w:t>начатись як суспільно збиткові, такі, що займа-</w:t>
      </w:r>
      <w:r>
        <w:br/>
        <w:t>ють проміжне місце між суспільно небезпечни-</w:t>
      </w:r>
      <w:r>
        <w:br/>
        <w:t>ми та шкідливими наслідками.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firstLine="440"/>
      </w:pPr>
      <w:r>
        <w:t>У цьому ланцюзі група кримінальних про-</w:t>
      </w:r>
      <w:r>
        <w:br/>
        <w:t>ступків повинна охоплюв</w:t>
      </w:r>
      <w:r>
        <w:t>ати проміжні діяння</w:t>
      </w:r>
      <w:r>
        <w:br/>
        <w:t>й формуватися як шляхом «переведення» де-</w:t>
      </w:r>
      <w:r>
        <w:br/>
        <w:t>ліктів із категорії адмінпроступків у категорію</w:t>
      </w:r>
      <w:r>
        <w:br/>
        <w:t>кримінальних провин, так і шляхом декримі-</w:t>
      </w:r>
      <w:r>
        <w:br/>
        <w:t>налізації низки складів, передбачених чинним</w:t>
      </w:r>
      <w:r>
        <w:br/>
        <w:t>КК України. До останньої групи можуть бути,</w:t>
      </w:r>
      <w:r>
        <w:br/>
        <w:t>на нашу думку,</w:t>
      </w:r>
      <w:r>
        <w:t xml:space="preserve"> віднесені діяння, які належать</w:t>
      </w:r>
      <w:r>
        <w:br/>
        <w:t>до категорії злочинів невеликої тяжкості (ка-</w:t>
      </w:r>
      <w:r>
        <w:br/>
        <w:t>рані не суворіше, ніж позбавленням волі на</w:t>
      </w:r>
      <w:r>
        <w:br/>
        <w:t>строк до 2 років - ст. 12 КК України).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firstLine="440"/>
      </w:pPr>
      <w:r>
        <w:t>Крім того, варто цілком погодитися з авто-</w:t>
      </w:r>
      <w:r>
        <w:br/>
        <w:t>рами Концепції, що вказують на необхідність</w:t>
      </w:r>
      <w:r>
        <w:br/>
        <w:t>декриміна</w:t>
      </w:r>
      <w:r>
        <w:t>лізаціїтих діянь, які виникли внаслі-</w:t>
      </w:r>
      <w:r>
        <w:br/>
        <w:t>док «необгрунтованого втручання криміналь-</w:t>
      </w:r>
      <w:r>
        <w:br/>
        <w:t>ного законодавства у сфери, традиційно регу-</w:t>
      </w:r>
      <w:r>
        <w:br/>
        <w:t>льовані іншими галузями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right="1833" w:firstLine="0"/>
      </w:pPr>
      <w:r>
        <w:t>права».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right="1833" w:firstLine="440"/>
      </w:pPr>
      <w:r>
        <w:t>За такої постановку пи-</w:t>
      </w:r>
    </w:p>
    <w:p w:rsidR="00900B2E" w:rsidRDefault="00D074D8">
      <w:pPr>
        <w:pStyle w:val="26"/>
        <w:framePr w:w="4714" w:h="13940" w:hRule="exact" w:wrap="none" w:vAnchor="page" w:hAnchor="page" w:x="5936" w:y="1961"/>
        <w:shd w:val="clear" w:color="auto" w:fill="auto"/>
        <w:spacing w:before="0"/>
        <w:ind w:right="29" w:firstLine="0"/>
      </w:pPr>
      <w:r>
        <w:t xml:space="preserve">тання співвідношення в роз- </w:t>
      </w:r>
      <w:r>
        <w:rPr>
          <w:rStyle w:val="2BookmanOldStyle65pt"/>
        </w:rPr>
        <w:t>ЮРИДИЧНИЙРАДНИК</w:t>
      </w:r>
    </w:p>
    <w:p w:rsidR="00900B2E" w:rsidRDefault="00D074D8">
      <w:pPr>
        <w:pStyle w:val="32"/>
        <w:framePr w:wrap="none" w:vAnchor="page" w:hAnchor="page" w:x="9824" w:y="15100"/>
        <w:shd w:val="clear" w:color="auto" w:fill="auto"/>
        <w:spacing w:line="80" w:lineRule="exact"/>
      </w:pPr>
      <w:r>
        <w:t>кірас ііа Украй»</w:t>
      </w:r>
    </w:p>
    <w:p w:rsidR="00900B2E" w:rsidRDefault="00D074D8">
      <w:pPr>
        <w:pStyle w:val="50"/>
        <w:framePr w:w="230" w:h="3696" w:hRule="exact" w:wrap="none" w:vAnchor="page" w:hAnchor="page" w:x="10764" w:y="2060"/>
        <w:shd w:val="clear" w:color="auto" w:fill="auto"/>
        <w:spacing w:line="140" w:lineRule="exact"/>
        <w:textDirection w:val="tbRl"/>
      </w:pPr>
      <w:r>
        <w:t xml:space="preserve">ЮРИДИЧНИЙ </w:t>
      </w:r>
      <w:r>
        <w:t>РАДНИК № 4 (18), серпень, 200/І</w:t>
      </w:r>
    </w:p>
    <w:p w:rsidR="00900B2E" w:rsidRDefault="006D002C">
      <w:pPr>
        <w:rPr>
          <w:sz w:val="2"/>
          <w:szCs w:val="2"/>
        </w:rPr>
        <w:sectPr w:rsidR="00900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5628005</wp:posOffset>
            </wp:positionH>
            <wp:positionV relativeFrom="page">
              <wp:posOffset>9570720</wp:posOffset>
            </wp:positionV>
            <wp:extent cx="1060450" cy="389890"/>
            <wp:effectExtent l="0" t="0" r="6350" b="0"/>
            <wp:wrapNone/>
            <wp:docPr id="3" name="Рисунок 3" descr="C:\Users\DR29D9~1.PA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29D9~1.PA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2E" w:rsidRDefault="00D074D8">
      <w:pPr>
        <w:pStyle w:val="a5"/>
        <w:framePr w:wrap="none" w:vAnchor="page" w:hAnchor="page" w:x="1460" w:y="812"/>
        <w:shd w:val="clear" w:color="auto" w:fill="auto"/>
        <w:spacing w:line="180" w:lineRule="exact"/>
      </w:pPr>
      <w:r>
        <w:lastRenderedPageBreak/>
        <w:t>Огляди та коментарі</w:t>
      </w:r>
    </w:p>
    <w:p w:rsidR="00900B2E" w:rsidRDefault="00D074D8">
      <w:pPr>
        <w:pStyle w:val="26"/>
        <w:framePr w:w="4651" w:h="9349" w:hRule="exact" w:wrap="none" w:vAnchor="page" w:hAnchor="page" w:x="1014" w:y="1274"/>
        <w:shd w:val="clear" w:color="auto" w:fill="auto"/>
        <w:spacing w:before="0"/>
        <w:ind w:firstLine="0"/>
      </w:pPr>
      <w:r>
        <w:t>глянутому зв’язуванні буде повним і обгрунто</w:t>
      </w:r>
      <w:r>
        <w:softHyphen/>
        <w:t>ваним</w:t>
      </w:r>
      <w:r>
        <w:rPr>
          <w:vertAlign w:val="superscript"/>
        </w:rPr>
        <w:t>1</w:t>
      </w:r>
      <w:r>
        <w:t>.</w:t>
      </w:r>
    </w:p>
    <w:p w:rsidR="00900B2E" w:rsidRDefault="00D074D8">
      <w:pPr>
        <w:pStyle w:val="26"/>
        <w:framePr w:w="4651" w:h="9349" w:hRule="exact" w:wrap="none" w:vAnchor="page" w:hAnchor="page" w:x="1014" w:y="1274"/>
        <w:shd w:val="clear" w:color="auto" w:fill="auto"/>
        <w:spacing w:before="0"/>
        <w:ind w:firstLine="420"/>
      </w:pPr>
      <w:r>
        <w:rPr>
          <w:rStyle w:val="27"/>
        </w:rPr>
        <w:t>Об’єктом посягань</w:t>
      </w:r>
      <w:r>
        <w:t xml:space="preserve"> при вчиненні кримі</w:t>
      </w:r>
      <w:r>
        <w:softHyphen/>
        <w:t xml:space="preserve">нальних проступків повинні стати </w:t>
      </w:r>
      <w:r>
        <w:rPr>
          <w:rStyle w:val="27"/>
        </w:rPr>
        <w:t>важливі сус</w:t>
      </w:r>
      <w:r>
        <w:rPr>
          <w:rStyle w:val="27"/>
        </w:rPr>
        <w:softHyphen/>
        <w:t>пільні відносини блага та інтереси</w:t>
      </w:r>
      <w:r>
        <w:t xml:space="preserve"> на відміну </w:t>
      </w:r>
      <w:r>
        <w:t>від злочинів, де об'єктом постають особливо важливі суспільні відносини блага й інтереси.</w:t>
      </w:r>
    </w:p>
    <w:p w:rsidR="00900B2E" w:rsidRDefault="00D074D8">
      <w:pPr>
        <w:pStyle w:val="26"/>
        <w:framePr w:w="4651" w:h="9349" w:hRule="exact" w:wrap="none" w:vAnchor="page" w:hAnchor="page" w:x="1014" w:y="1274"/>
        <w:shd w:val="clear" w:color="auto" w:fill="auto"/>
        <w:spacing w:before="0"/>
        <w:ind w:firstLine="420"/>
      </w:pPr>
      <w:r>
        <w:rPr>
          <w:rStyle w:val="27"/>
        </w:rPr>
        <w:t>Об'єктивна сторона</w:t>
      </w:r>
      <w:r>
        <w:t xml:space="preserve"> кримінальних про</w:t>
      </w:r>
      <w:r>
        <w:softHyphen/>
        <w:t>ступків характеризується вчиненням діяння (дії або бездіяльності). Її характеристики мало чим різняться від притаманних злочину.</w:t>
      </w:r>
    </w:p>
    <w:p w:rsidR="00900B2E" w:rsidRDefault="00D074D8">
      <w:pPr>
        <w:pStyle w:val="26"/>
        <w:framePr w:w="4651" w:h="9349" w:hRule="exact" w:wrap="none" w:vAnchor="page" w:hAnchor="page" w:x="1014" w:y="1274"/>
        <w:shd w:val="clear" w:color="auto" w:fill="auto"/>
        <w:spacing w:before="0"/>
        <w:ind w:firstLine="420"/>
      </w:pPr>
      <w:r>
        <w:t>С</w:t>
      </w:r>
      <w:r>
        <w:t xml:space="preserve">уттєві відмінності повинні спостерігатись у характеристиках </w:t>
      </w:r>
      <w:r>
        <w:rPr>
          <w:rStyle w:val="27"/>
        </w:rPr>
        <w:t>суб ’єкта злочину.</w:t>
      </w:r>
      <w:r>
        <w:t xml:space="preserve"> По перше, в якості суб’єкта злочину мають виступати не тільки фізичні, а й юридичні особи. Звичайно це новий підхід, який викликає багато спорів. Однак практика його вирішення т</w:t>
      </w:r>
      <w:r>
        <w:t>а застосуван</w:t>
      </w:r>
      <w:r>
        <w:softHyphen/>
        <w:t>ня в багатьох Європейський країнах свідчить на користь такого рішення. Визнання в якості суб’єкта злочину юридичної особи сприяти</w:t>
      </w:r>
      <w:r>
        <w:softHyphen/>
        <w:t>ме об’єктивізації відповідальності, дозволить вирішувати багато питань у сфері боротьби зі злочинністю.</w:t>
      </w:r>
    </w:p>
    <w:p w:rsidR="00900B2E" w:rsidRDefault="00D074D8">
      <w:pPr>
        <w:pStyle w:val="26"/>
        <w:framePr w:w="4651" w:h="9349" w:hRule="exact" w:wrap="none" w:vAnchor="page" w:hAnchor="page" w:x="1014" w:y="1274"/>
        <w:shd w:val="clear" w:color="auto" w:fill="auto"/>
        <w:spacing w:before="0"/>
        <w:ind w:firstLine="420"/>
      </w:pPr>
      <w:r>
        <w:t>Надзвичай</w:t>
      </w:r>
      <w:r>
        <w:t>но важливим убачається вирі</w:t>
      </w:r>
      <w:r>
        <w:softHyphen/>
        <w:t xml:space="preserve">шення питання про суб’єктивну сторону складу злочину. У принципі, ніяких нових підходів до розуміння поняття </w:t>
      </w:r>
      <w:r>
        <w:rPr>
          <w:rStyle w:val="27"/>
        </w:rPr>
        <w:t>вини</w:t>
      </w:r>
      <w:r>
        <w:t xml:space="preserve"> як основної ознаки цього елемента складу не пропонується. Питання по</w:t>
      </w:r>
      <w:r>
        <w:softHyphen/>
        <w:t>лягає в тому, щоб на підставі саме суб’єктивн</w:t>
      </w:r>
      <w:r>
        <w:t>ої сторони складу злочину провести розмежуван</w:t>
      </w:r>
      <w:r>
        <w:softHyphen/>
        <w:t xml:space="preserve">ня між </w:t>
      </w:r>
      <w:r>
        <w:rPr>
          <w:rStyle w:val="27"/>
        </w:rPr>
        <w:t>злочинами</w:t>
      </w:r>
      <w:r>
        <w:t xml:space="preserve"> та </w:t>
      </w:r>
      <w:r>
        <w:rPr>
          <w:rStyle w:val="27"/>
        </w:rPr>
        <w:t>кримінальними проступка</w:t>
      </w:r>
      <w:r>
        <w:rPr>
          <w:rStyle w:val="27"/>
        </w:rPr>
        <w:softHyphen/>
        <w:t>ми.</w:t>
      </w:r>
      <w:r>
        <w:t xml:space="preserve"> Якщо кримінальний проступок може харак</w:t>
      </w:r>
      <w:r>
        <w:softHyphen/>
        <w:t>теризуватися виною як у формі умислу, так і у формі необережності, то злочином має визнава</w:t>
      </w:r>
      <w:r w:rsidR="006D002C">
        <w:t>-</w:t>
      </w:r>
      <w:bookmarkStart w:id="3" w:name="_GoBack"/>
      <w:bookmarkEnd w:id="3"/>
      <w:r>
        <w:softHyphen/>
      </w:r>
    </w:p>
    <w:p w:rsidR="00900B2E" w:rsidRDefault="00D074D8">
      <w:pPr>
        <w:pStyle w:val="ab"/>
        <w:framePr w:w="4651" w:h="1612" w:hRule="exact" w:wrap="none" w:vAnchor="page" w:hAnchor="page" w:x="1014" w:y="10765"/>
        <w:shd w:val="clear" w:color="auto" w:fill="auto"/>
      </w:pPr>
      <w:r>
        <w:t xml:space="preserve">1 Кримінальний кодекс </w:t>
      </w:r>
      <w:r>
        <w:t>Республіки Польща подіб</w:t>
      </w:r>
      <w:r>
        <w:softHyphen/>
        <w:t>не співвідношення регламентує в такий спосіб: злочинами зізнаються виключно умисні діяння, за які передбачена санкція у вигляді 3-х і більше років позбавлення волі; провинами зізнаються умисні й необережні діяння, за які передбачене</w:t>
      </w:r>
      <w:r>
        <w:t xml:space="preserve"> покарання, що перевищує штраф у розмірі більше ЗО ставок денної оплати праці.</w:t>
      </w:r>
    </w:p>
    <w:p w:rsidR="00900B2E" w:rsidRDefault="00D074D8">
      <w:pPr>
        <w:pStyle w:val="26"/>
        <w:framePr w:w="4646" w:h="11007" w:hRule="exact" w:wrap="none" w:vAnchor="page" w:hAnchor="page" w:x="5833" w:y="1275"/>
        <w:shd w:val="clear" w:color="auto" w:fill="auto"/>
        <w:spacing w:before="0"/>
        <w:ind w:firstLine="0"/>
      </w:pPr>
      <w:r>
        <w:t>тися виключно діяння, яке вчиняється умисно. Коли ми визначаємо суспільну небезпеку, яка є матеріальною ознакою злочину, то здебільшо</w:t>
      </w:r>
      <w:r>
        <w:softHyphen/>
        <w:t>го приділяємо увагу виключно питанням ма</w:t>
      </w:r>
      <w:r>
        <w:softHyphen/>
        <w:t>те</w:t>
      </w:r>
      <w:r>
        <w:t>ріалізації наслідків тієї шкоди, яка завдана чи може бути завдана. При цьому суб’єкт та його характеристики, у т. ч. суб’єктивної сторони, залишається дещо осторонь, будучи відірваним від цієї ознаки. Такий підхід не може бути виз</w:t>
      </w:r>
      <w:r>
        <w:softHyphen/>
        <w:t>наний виправданим. Матері</w:t>
      </w:r>
      <w:r>
        <w:t>альна ознака - це не тільки шкідливість наслідків, але й небезпеч</w:t>
      </w:r>
      <w:r>
        <w:softHyphen/>
        <w:t>ність, яка характеризує особу винного. Напев</w:t>
      </w:r>
      <w:r>
        <w:softHyphen/>
        <w:t>но, ніхто не заперечуватиме наявність різниці в небезпечності між умисним і необережним злочинцем. Це різнопорядкові величини. А чинний криміналь</w:t>
      </w:r>
      <w:r>
        <w:t>ний закон фактично ставить їх на один рівень, не проводячи диференціації. Це і повинно бути критерієм, вододілом між злочином і кримінальним проступком. До речі, законодавець Республіки Польща, який узагалі відмовився від поняття «суспільна небезпека» як о</w:t>
      </w:r>
      <w:r>
        <w:t>знаки злочину, досить спокійно «розвів» на підставі ставлення суб’єкта до діяння та його наслідків усі діяння на злочини (які вчиняються виключно умисно) і кримінальні проступки (які можуть вчинятись як умисно, так і з необереж</w:t>
      </w:r>
      <w:r>
        <w:softHyphen/>
        <w:t>ності).</w:t>
      </w:r>
    </w:p>
    <w:p w:rsidR="00900B2E" w:rsidRDefault="00D074D8">
      <w:pPr>
        <w:pStyle w:val="26"/>
        <w:framePr w:w="4646" w:h="11007" w:hRule="exact" w:wrap="none" w:vAnchor="page" w:hAnchor="page" w:x="5833" w:y="1275"/>
        <w:shd w:val="clear" w:color="auto" w:fill="auto"/>
        <w:spacing w:before="0"/>
        <w:ind w:firstLine="440"/>
      </w:pPr>
      <w:r>
        <w:t>При цьому кримінальн</w:t>
      </w:r>
      <w:r>
        <w:t>і проступки не можуть каратись більш суворо ніж на строк З роки позбавлення волі. Вони не повинні (як це й передбачає Концепція), тягнути за собою судимість тощо.</w:t>
      </w:r>
    </w:p>
    <w:p w:rsidR="00900B2E" w:rsidRDefault="00D074D8">
      <w:pPr>
        <w:pStyle w:val="26"/>
        <w:framePr w:w="4646" w:h="11007" w:hRule="exact" w:wrap="none" w:vAnchor="page" w:hAnchor="page" w:x="5833" w:y="1275"/>
        <w:shd w:val="clear" w:color="auto" w:fill="auto"/>
        <w:spacing w:before="0"/>
        <w:ind w:firstLine="440"/>
      </w:pPr>
      <w:r>
        <w:t>У ході роботи семінару було обговорено ав</w:t>
      </w:r>
      <w:r>
        <w:softHyphen/>
        <w:t>торські проекти законодавства про кримінальні прост</w:t>
      </w:r>
      <w:r>
        <w:t>упки, прийнято рекомендації. Учасники науково-теоретичного семінару ухвалили рі</w:t>
      </w:r>
      <w:r>
        <w:softHyphen/>
        <w:t>шення продовжити роботу над пропозиціями щодо вдосконалення законодавства та обгово</w:t>
      </w:r>
      <w:r>
        <w:softHyphen/>
        <w:t>рити їх на наступній зустрічі, яка планується на осінь цього року, ж</w:t>
      </w:r>
    </w:p>
    <w:p w:rsidR="00900B2E" w:rsidRDefault="00D074D8">
      <w:pPr>
        <w:pStyle w:val="140"/>
        <w:framePr w:w="9466" w:h="911" w:hRule="exact" w:wrap="none" w:vAnchor="page" w:hAnchor="page" w:x="1014" w:y="12471"/>
        <w:shd w:val="clear" w:color="auto" w:fill="auto"/>
        <w:ind w:right="20"/>
      </w:pPr>
      <w:r>
        <w:t>Список використаних дже</w:t>
      </w:r>
      <w:r>
        <w:t>рел</w:t>
      </w:r>
    </w:p>
    <w:p w:rsidR="00900B2E" w:rsidRDefault="00D074D8">
      <w:pPr>
        <w:pStyle w:val="26"/>
        <w:framePr w:w="9466" w:h="911" w:hRule="exact" w:wrap="none" w:vAnchor="page" w:hAnchor="page" w:x="1014" w:y="12471"/>
        <w:shd w:val="clear" w:color="auto" w:fill="auto"/>
        <w:spacing w:before="0" w:line="283" w:lineRule="exact"/>
        <w:ind w:left="280"/>
        <w:jc w:val="left"/>
      </w:pPr>
      <w:r>
        <w:t>1 Кримінальний кодекс України № 2341-ІІІ від 5 квітня 2001 р. // Відомості Верховної Ради Ук</w:t>
      </w:r>
      <w:r>
        <w:softHyphen/>
        <w:t>раїни від 29.06.2001. - 2001. - № 25. - Ст. 131.</w:t>
      </w:r>
    </w:p>
    <w:p w:rsidR="00900B2E" w:rsidRDefault="006D002C">
      <w:pPr>
        <w:framePr w:wrap="none" w:vAnchor="page" w:hAnchor="page" w:x="1072" w:y="144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4895" cy="417830"/>
            <wp:effectExtent l="0" t="0" r="1905" b="1270"/>
            <wp:docPr id="1" name="Рисунок 1" descr="C:\Users\DR29D9~1.PAU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2E" w:rsidRDefault="00D074D8">
      <w:pPr>
        <w:pStyle w:val="a9"/>
        <w:framePr w:wrap="none" w:vAnchor="page" w:hAnchor="page" w:x="1043" w:y="15034"/>
        <w:shd w:val="clear" w:color="auto" w:fill="auto"/>
        <w:spacing w:line="130" w:lineRule="exact"/>
      </w:pPr>
      <w:r>
        <w:t>ЮРИДИЧНИЙ РАДНИК</w:t>
      </w:r>
    </w:p>
    <w:p w:rsidR="00900B2E" w:rsidRDefault="00900B2E">
      <w:pPr>
        <w:rPr>
          <w:sz w:val="2"/>
          <w:szCs w:val="2"/>
        </w:rPr>
      </w:pPr>
    </w:p>
    <w:sectPr w:rsidR="00900B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D8" w:rsidRDefault="00D074D8">
      <w:r>
        <w:separator/>
      </w:r>
    </w:p>
  </w:endnote>
  <w:endnote w:type="continuationSeparator" w:id="0">
    <w:p w:rsidR="00D074D8" w:rsidRDefault="00D0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D8" w:rsidRDefault="00D074D8">
      <w:r>
        <w:separator/>
      </w:r>
    </w:p>
  </w:footnote>
  <w:footnote w:type="continuationSeparator" w:id="0">
    <w:p w:rsidR="00D074D8" w:rsidRDefault="00D0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2E"/>
    <w:rsid w:val="006D002C"/>
    <w:rsid w:val="00900B2E"/>
    <w:rsid w:val="00D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30"/>
      <w:w w:val="8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CenturyGothic9pt">
    <w:name w:val="Основной текст (3) + Century Gothic;9 pt;Полужирный;Курсив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Другое + 2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Подпись к картинке_"/>
    <w:basedOn w:val="a0"/>
    <w:link w:val="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28">
    <w:name w:val="Основной текст (2) +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BookmanOldStyle65pt">
    <w:name w:val="Основной текст (2) + Bookman Old Style;6;5 pt"/>
    <w:basedOn w:val="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a">
    <w:name w:val="Сноска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0"/>
      <w:w w:val="80"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" w:line="0" w:lineRule="atLeas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35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35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60" w:line="274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Verdana" w:eastAsia="Verdana" w:hAnsi="Verdana" w:cs="Verdana"/>
      <w:b/>
      <w:bCs/>
      <w:spacing w:val="10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</w:pPr>
    <w:rPr>
      <w:rFonts w:ascii="Verdana" w:eastAsia="Verdana" w:hAnsi="Verdana" w:cs="Verdana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8" w:lineRule="exact"/>
    </w:pPr>
    <w:rPr>
      <w:rFonts w:ascii="Arial" w:eastAsia="Arial" w:hAnsi="Arial" w:cs="Arial"/>
      <w:b/>
      <w:bCs/>
      <w:spacing w:val="10"/>
      <w:sz w:val="13"/>
      <w:szCs w:val="13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Сноска"/>
    <w:basedOn w:val="a"/>
    <w:link w:val="aa"/>
    <w:pPr>
      <w:shd w:val="clear" w:color="auto" w:fill="FFFFFF"/>
      <w:spacing w:line="226" w:lineRule="exact"/>
      <w:ind w:firstLine="3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30"/>
      <w:w w:val="8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CenturyGothic9pt">
    <w:name w:val="Основной текст (3) + Century Gothic;9 pt;Полужирный;Курсив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Другое + 2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Подпись к картинке_"/>
    <w:basedOn w:val="a0"/>
    <w:link w:val="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28">
    <w:name w:val="Основной текст (2) + Малые прописны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BookmanOldStyle65pt">
    <w:name w:val="Основной текст (2) + Bookman Old Style;6;5 pt"/>
    <w:basedOn w:val="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a">
    <w:name w:val="Сноска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0"/>
      <w:w w:val="80"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60" w:line="0" w:lineRule="atLeas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35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35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60" w:line="274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Verdana" w:eastAsia="Verdana" w:hAnsi="Verdana" w:cs="Verdana"/>
      <w:b/>
      <w:bCs/>
      <w:spacing w:val="10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</w:pPr>
    <w:rPr>
      <w:rFonts w:ascii="Verdana" w:eastAsia="Verdana" w:hAnsi="Verdana" w:cs="Verdana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8" w:lineRule="exact"/>
    </w:pPr>
    <w:rPr>
      <w:rFonts w:ascii="Arial" w:eastAsia="Arial" w:hAnsi="Arial" w:cs="Arial"/>
      <w:b/>
      <w:bCs/>
      <w:spacing w:val="10"/>
      <w:sz w:val="13"/>
      <w:szCs w:val="13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b">
    <w:name w:val="Сноска"/>
    <w:basedOn w:val="a"/>
    <w:link w:val="aa"/>
    <w:pPr>
      <w:shd w:val="clear" w:color="auto" w:fill="FFFFFF"/>
      <w:spacing w:line="226" w:lineRule="exact"/>
      <w:ind w:firstLine="3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7063</Words>
  <Characters>4026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2020-04-16T13:17:00Z</dcterms:created>
  <dcterms:modified xsi:type="dcterms:W3CDTF">2020-04-16T13:23:00Z</dcterms:modified>
</cp:coreProperties>
</file>