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4D" w:rsidRDefault="00203AE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3636645</wp:posOffset>
                </wp:positionV>
                <wp:extent cx="5220970" cy="0"/>
                <wp:effectExtent l="19050" t="26670" r="27305" b="209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209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5.75pt;margin-top:286.35pt;width:411.1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" filled="t" strokeweight="2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3676650</wp:posOffset>
                </wp:positionV>
                <wp:extent cx="5220970" cy="0"/>
                <wp:effectExtent l="9525" t="9525" r="825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209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5.75pt;margin-top:289.5pt;width:411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4344D" w:rsidRDefault="003E0BAC">
      <w:pPr>
        <w:pStyle w:val="20"/>
        <w:framePr w:w="9144" w:h="4385" w:hRule="exact" w:wrap="none" w:vAnchor="page" w:hAnchor="page" w:x="1060" w:y="1264"/>
        <w:shd w:val="clear" w:color="auto" w:fill="auto"/>
        <w:spacing w:after="0" w:line="210" w:lineRule="exact"/>
        <w:ind w:right="2030" w:firstLine="820"/>
      </w:pPr>
      <w:bookmarkStart w:id="0" w:name="bookmark0"/>
      <w:r>
        <w:t>= Цивільне, підприємницьке, господарське та трудове право</w:t>
      </w:r>
      <w:bookmarkEnd w:id="0"/>
    </w:p>
    <w:p w:rsidR="00A4344D" w:rsidRDefault="003E0BAC" w:rsidP="00203AE1">
      <w:pPr>
        <w:pStyle w:val="30"/>
        <w:framePr w:w="9144" w:h="4385" w:hRule="exact" w:wrap="none" w:vAnchor="page" w:hAnchor="page" w:x="1060" w:y="1264"/>
        <w:shd w:val="clear" w:color="auto" w:fill="auto"/>
        <w:tabs>
          <w:tab w:val="left" w:pos="2439"/>
        </w:tabs>
        <w:spacing w:before="0"/>
        <w:ind w:left="980" w:firstLine="1840"/>
      </w:pPr>
      <w:r>
        <w:t>ПИТАННЯ РЕАЛІЗАЦІЇ</w:t>
      </w:r>
      <w:r w:rsidR="00203AE1" w:rsidRPr="00203AE1">
        <w:rPr>
          <w:lang w:val="ru-RU"/>
        </w:rPr>
        <w:t xml:space="preserve"> </w:t>
      </w:r>
      <w:r>
        <w:t>ПРАВОЗАХИСНОЇ ФУНКЦІЇ</w:t>
      </w:r>
      <w:r>
        <w:tab/>
        <w:t>НОТАРІАТОМ УКРАЇНИ В</w:t>
      </w:r>
      <w:r w:rsidR="00203AE1" w:rsidRPr="00203AE1">
        <w:rPr>
          <w:lang w:val="ru-RU"/>
        </w:rPr>
        <w:t xml:space="preserve"> </w:t>
      </w:r>
      <w:r>
        <w:t>КОНТЕКСТІ ЗАКОНУ «ПРО</w:t>
      </w:r>
      <w:r w:rsidR="00203AE1" w:rsidRPr="00203AE1">
        <w:rPr>
          <w:lang w:val="ru-RU"/>
        </w:rPr>
        <w:t xml:space="preserve"> </w:t>
      </w:r>
      <w:r>
        <w:t>ДЕРЖАВНУ РЕЄСТРАЦІЮ</w:t>
      </w:r>
      <w:r w:rsidR="00203AE1" w:rsidRPr="00203AE1">
        <w:rPr>
          <w:lang w:val="ru-RU"/>
        </w:rPr>
        <w:t xml:space="preserve"> </w:t>
      </w:r>
      <w:r>
        <w:t>РЕЧОВИХ ПРАВ НА НЕРУХОМЕ</w:t>
      </w:r>
      <w:r w:rsidR="00203AE1" w:rsidRPr="00203AE1">
        <w:rPr>
          <w:lang w:val="ru-RU"/>
        </w:rPr>
        <w:t xml:space="preserve"> </w:t>
      </w:r>
      <w:r w:rsidR="00203AE1">
        <w:rPr>
          <w:lang w:val="ru-RU"/>
        </w:rPr>
        <w:t>М</w:t>
      </w:r>
      <w:r>
        <w:t>АЙНО ТА ЇХ ОБТЯЖЕНЬ»</w:t>
      </w:r>
    </w:p>
    <w:p w:rsidR="00A4344D" w:rsidRDefault="003E0BAC">
      <w:pPr>
        <w:pStyle w:val="10"/>
        <w:framePr w:w="9144" w:h="4385" w:hRule="exact" w:wrap="none" w:vAnchor="page" w:hAnchor="page" w:x="1060" w:y="1264"/>
        <w:shd w:val="clear" w:color="auto" w:fill="auto"/>
        <w:ind w:left="5"/>
      </w:pPr>
      <w:bookmarkStart w:id="1" w:name="bookmark1"/>
      <w:r>
        <w:t xml:space="preserve">ФРІС Павло Львович - доктор </w:t>
      </w:r>
      <w:r>
        <w:t>юридичних наук, професор, заслужений</w:t>
      </w:r>
      <w:r w:rsidR="00203AE1">
        <w:t xml:space="preserve"> </w:t>
      </w:r>
      <w:r>
        <w:t>діяч науки і техніки України, приватний нотаріус Яремчансько</w:t>
      </w:r>
      <w:r w:rsidR="00203AE1">
        <w:t>го</w:t>
      </w:r>
      <w:r>
        <w:t xml:space="preserve"> М</w:t>
      </w:r>
      <w:r w:rsidR="00203AE1">
        <w:t>Н</w:t>
      </w:r>
      <w:r>
        <w:t>О</w:t>
      </w:r>
      <w:bookmarkEnd w:id="1"/>
    </w:p>
    <w:p w:rsidR="00A4344D" w:rsidRDefault="003E0BAC">
      <w:pPr>
        <w:pStyle w:val="10"/>
        <w:framePr w:w="9144" w:h="4385" w:hRule="exact" w:wrap="none" w:vAnchor="page" w:hAnchor="page" w:x="1060" w:y="1264"/>
        <w:shd w:val="clear" w:color="auto" w:fill="auto"/>
        <w:ind w:left="5"/>
      </w:pPr>
      <w:bookmarkStart w:id="2" w:name="bookmark2"/>
      <w:r>
        <w:t>ФРІС Ігор Павлович - член Ради Української нотаріальної палати, голова</w:t>
      </w:r>
      <w:r w:rsidR="00203AE1">
        <w:t xml:space="preserve"> </w:t>
      </w:r>
      <w:r>
        <w:t>комісії з міжнародного співробітництва Української нотаріальної палати, при</w:t>
      </w:r>
      <w:r w:rsidR="00203AE1">
        <w:t>в</w:t>
      </w:r>
      <w:r>
        <w:t>ат</w:t>
      </w:r>
      <w:r>
        <w:t>ний нотаріус Івано-Франківського М</w:t>
      </w:r>
      <w:r w:rsidR="00203AE1">
        <w:t>Н</w:t>
      </w:r>
      <w:r>
        <w:t>О</w:t>
      </w:r>
      <w:bookmarkEnd w:id="2"/>
    </w:p>
    <w:p w:rsidR="00A4344D" w:rsidRPr="00203AE1" w:rsidRDefault="003E0BAC">
      <w:pPr>
        <w:pStyle w:val="40"/>
        <w:framePr w:w="4450" w:h="8365" w:hRule="exact" w:wrap="none" w:vAnchor="page" w:hAnchor="page" w:x="1060" w:y="6080"/>
        <w:shd w:val="clear" w:color="auto" w:fill="auto"/>
        <w:ind w:firstLine="460"/>
        <w:rPr>
          <w:lang w:val="ru-RU"/>
        </w:rPr>
      </w:pPr>
      <w:r w:rsidRPr="00203AE1">
        <w:rPr>
          <w:lang w:val="ru-RU"/>
        </w:rPr>
        <w:t>В ста</w:t>
      </w:r>
      <w:r w:rsidR="00203AE1">
        <w:rPr>
          <w:lang w:val="ru-RU"/>
        </w:rPr>
        <w:t>т</w:t>
      </w:r>
      <w:r w:rsidRPr="00203AE1">
        <w:rPr>
          <w:lang w:val="ru-RU"/>
        </w:rPr>
        <w:t>ье рассматриваются вопрос</w:t>
      </w:r>
      <w:r w:rsidR="00203AE1" w:rsidRPr="00203AE1">
        <w:rPr>
          <w:lang w:val="ru-RU"/>
        </w:rPr>
        <w:t>ы</w:t>
      </w:r>
      <w:r w:rsidRPr="00203AE1">
        <w:rPr>
          <w:lang w:val="ru-RU"/>
        </w:rPr>
        <w:t xml:space="preserve"> ре</w:t>
      </w:r>
      <w:r w:rsidRPr="00203AE1">
        <w:rPr>
          <w:lang w:val="ru-RU"/>
        </w:rPr>
        <w:t>а</w:t>
      </w:r>
      <w:r w:rsidR="00203AE1">
        <w:rPr>
          <w:lang w:val="ru-RU"/>
        </w:rPr>
        <w:t>-</w:t>
      </w:r>
      <w:r w:rsidRPr="00203AE1">
        <w:rPr>
          <w:lang w:val="ru-RU"/>
        </w:rPr>
        <w:t xml:space="preserve"> лизации </w:t>
      </w:r>
      <w:r w:rsidR="00203AE1" w:rsidRPr="00203AE1">
        <w:rPr>
          <w:lang w:val="ru-RU"/>
        </w:rPr>
        <w:t>пр</w:t>
      </w:r>
      <w:r w:rsidRPr="00203AE1">
        <w:rPr>
          <w:lang w:val="ru-RU"/>
        </w:rPr>
        <w:t>авоза</w:t>
      </w:r>
      <w:r w:rsidRPr="00203AE1">
        <w:rPr>
          <w:lang w:val="ru-RU"/>
        </w:rPr>
        <w:t>щ</w:t>
      </w:r>
      <w:r w:rsidR="00203AE1" w:rsidRPr="00203AE1">
        <w:rPr>
          <w:lang w:val="ru-RU"/>
        </w:rPr>
        <w:t>и</w:t>
      </w:r>
      <w:r w:rsidRPr="00203AE1">
        <w:rPr>
          <w:lang w:val="ru-RU"/>
        </w:rPr>
        <w:t>тной функции в деятель- нос</w:t>
      </w:r>
      <w:r w:rsidR="00203AE1" w:rsidRPr="00203AE1">
        <w:rPr>
          <w:lang w:val="ru-RU"/>
        </w:rPr>
        <w:t>т</w:t>
      </w:r>
      <w:r w:rsidRPr="00203AE1">
        <w:rPr>
          <w:lang w:val="ru-RU"/>
        </w:rPr>
        <w:t xml:space="preserve">и </w:t>
      </w:r>
      <w:r w:rsidRPr="00203AE1">
        <w:rPr>
          <w:lang w:val="ru-RU"/>
        </w:rPr>
        <w:t>нотариа</w:t>
      </w:r>
      <w:r w:rsidR="00203AE1" w:rsidRPr="00203AE1">
        <w:rPr>
          <w:lang w:val="ru-RU"/>
        </w:rPr>
        <w:t>т</w:t>
      </w:r>
      <w:r w:rsidRPr="00203AE1">
        <w:rPr>
          <w:lang w:val="ru-RU"/>
        </w:rPr>
        <w:t>а Украин</w:t>
      </w:r>
      <w:r w:rsidR="00203AE1" w:rsidRPr="00203AE1">
        <w:rPr>
          <w:lang w:val="ru-RU"/>
        </w:rPr>
        <w:t>ы</w:t>
      </w:r>
      <w:r w:rsidRPr="00203AE1">
        <w:rPr>
          <w:lang w:val="ru-RU"/>
        </w:rPr>
        <w:t>. анализируются конкретн</w:t>
      </w:r>
      <w:r w:rsidR="00203AE1">
        <w:rPr>
          <w:lang w:val="ru-RU"/>
        </w:rPr>
        <w:t>ы</w:t>
      </w:r>
      <w:r w:rsidRPr="00203AE1">
        <w:rPr>
          <w:lang w:val="ru-RU"/>
        </w:rPr>
        <w:t xml:space="preserve">е </w:t>
      </w:r>
      <w:r w:rsidR="00203AE1">
        <w:rPr>
          <w:lang w:val="ru-RU"/>
        </w:rPr>
        <w:t>п</w:t>
      </w:r>
      <w:r w:rsidRPr="00203AE1">
        <w:rPr>
          <w:lang w:val="ru-RU"/>
        </w:rPr>
        <w:t>олномочия органов но</w:t>
      </w:r>
      <w:r w:rsidR="00203AE1">
        <w:rPr>
          <w:lang w:val="ru-RU"/>
        </w:rPr>
        <w:t>т</w:t>
      </w:r>
      <w:r w:rsidRPr="00203AE1">
        <w:rPr>
          <w:lang w:val="ru-RU"/>
        </w:rPr>
        <w:t>ариа</w:t>
      </w:r>
      <w:r w:rsidRPr="00203AE1">
        <w:rPr>
          <w:lang w:val="ru-RU"/>
        </w:rPr>
        <w:t>та в контексте Закона Украин</w:t>
      </w:r>
      <w:r w:rsidR="00203AE1">
        <w:rPr>
          <w:lang w:val="ru-RU"/>
        </w:rPr>
        <w:t>ы</w:t>
      </w:r>
      <w:r w:rsidRPr="00203AE1">
        <w:rPr>
          <w:lang w:val="ru-RU"/>
        </w:rPr>
        <w:t xml:space="preserve"> </w:t>
      </w:r>
      <w:r w:rsidR="00203AE1">
        <w:rPr>
          <w:lang w:val="ru-RU"/>
        </w:rPr>
        <w:t>«О</w:t>
      </w:r>
      <w:r w:rsidRPr="00203AE1">
        <w:rPr>
          <w:lang w:val="ru-RU"/>
        </w:rPr>
        <w:t xml:space="preserve"> государ- </w:t>
      </w:r>
      <w:r w:rsidR="00203AE1">
        <w:rPr>
          <w:lang w:val="ru-RU"/>
        </w:rPr>
        <w:t>ст</w:t>
      </w:r>
      <w:r w:rsidRPr="00203AE1">
        <w:rPr>
          <w:lang w:val="ru-RU"/>
        </w:rPr>
        <w:t>венной регистрации имущественн</w:t>
      </w:r>
      <w:r w:rsidR="00203AE1">
        <w:rPr>
          <w:lang w:val="ru-RU"/>
        </w:rPr>
        <w:t>ы</w:t>
      </w:r>
      <w:r w:rsidRPr="00203AE1">
        <w:rPr>
          <w:lang w:val="ru-RU"/>
        </w:rPr>
        <w:t>х прав на недвижимое им</w:t>
      </w:r>
      <w:r w:rsidR="00203AE1">
        <w:rPr>
          <w:lang w:val="ru-RU"/>
        </w:rPr>
        <w:t>ущ</w:t>
      </w:r>
      <w:r w:rsidRPr="00203AE1">
        <w:rPr>
          <w:lang w:val="ru-RU"/>
        </w:rPr>
        <w:t>ество и их обремене</w:t>
      </w:r>
      <w:r w:rsidR="00203AE1">
        <w:rPr>
          <w:lang w:val="ru-RU"/>
        </w:rPr>
        <w:t>ний</w:t>
      </w:r>
      <w:r w:rsidRPr="00203AE1">
        <w:rPr>
          <w:lang w:val="ru-RU"/>
        </w:rPr>
        <w:t>», вносятся предложения относительно измене- ния полномочий</w:t>
      </w:r>
      <w:r w:rsidRPr="00203AE1">
        <w:rPr>
          <w:lang w:val="ru-RU"/>
        </w:rPr>
        <w:t xml:space="preserve"> органов но</w:t>
      </w:r>
      <w:r w:rsidR="00203AE1">
        <w:rPr>
          <w:lang w:val="ru-RU"/>
        </w:rPr>
        <w:t>тар</w:t>
      </w:r>
      <w:r w:rsidRPr="00203AE1">
        <w:rPr>
          <w:lang w:val="ru-RU"/>
        </w:rPr>
        <w:t>иа</w:t>
      </w:r>
      <w:r w:rsidR="00203AE1">
        <w:rPr>
          <w:lang w:val="ru-RU"/>
        </w:rPr>
        <w:t>т</w:t>
      </w:r>
      <w:r w:rsidRPr="00203AE1">
        <w:rPr>
          <w:lang w:val="ru-RU"/>
        </w:rPr>
        <w:t>а в вопро- сах регистрации им</w:t>
      </w:r>
      <w:r w:rsidR="00203AE1">
        <w:rPr>
          <w:lang w:val="ru-RU"/>
        </w:rPr>
        <w:t>ущ</w:t>
      </w:r>
      <w:r w:rsidRPr="00203AE1">
        <w:rPr>
          <w:lang w:val="ru-RU"/>
        </w:rPr>
        <w:t>ественн</w:t>
      </w:r>
      <w:r w:rsidR="00203AE1">
        <w:rPr>
          <w:lang w:val="ru-RU"/>
        </w:rPr>
        <w:t>ы</w:t>
      </w:r>
      <w:r w:rsidRPr="00203AE1">
        <w:rPr>
          <w:lang w:val="ru-RU"/>
        </w:rPr>
        <w:t>х прав участ- ников гражданско-правов</w:t>
      </w:r>
      <w:r w:rsidR="00203AE1">
        <w:rPr>
          <w:lang w:val="ru-RU"/>
        </w:rPr>
        <w:t>ы</w:t>
      </w:r>
      <w:r w:rsidRPr="00203AE1">
        <w:rPr>
          <w:lang w:val="ru-RU"/>
        </w:rPr>
        <w:t>х отно</w:t>
      </w:r>
      <w:r w:rsidR="00203AE1">
        <w:rPr>
          <w:lang w:val="ru-RU"/>
        </w:rPr>
        <w:t>ш</w:t>
      </w:r>
      <w:r w:rsidRPr="00203AE1">
        <w:rPr>
          <w:lang w:val="ru-RU"/>
        </w:rPr>
        <w:t>ений.</w:t>
      </w:r>
    </w:p>
    <w:p w:rsidR="00A4344D" w:rsidRDefault="003E0BAC">
      <w:pPr>
        <w:pStyle w:val="22"/>
        <w:framePr w:w="4450" w:h="8365" w:hRule="exact" w:wrap="none" w:vAnchor="page" w:hAnchor="page" w:x="1060" w:y="6080"/>
        <w:shd w:val="clear" w:color="auto" w:fill="auto"/>
        <w:spacing w:before="0"/>
        <w:ind w:firstLine="380"/>
      </w:pPr>
      <w:r>
        <w:t>Відповідно до діючого законодавства більшість правовідносин, які пов’язані з ви</w:t>
      </w:r>
      <w:r>
        <w:softHyphen/>
        <w:t>никненням, зміною або припиненням ци</w:t>
      </w:r>
      <w:r>
        <w:softHyphen/>
        <w:t xml:space="preserve">вільних прав, у тому числі </w:t>
      </w:r>
      <w:r>
        <w:t>речових прав на нерухоме майно, є чинними виключно при умові їх нотаріального посвідчення.</w:t>
      </w:r>
    </w:p>
    <w:p w:rsidR="00A4344D" w:rsidRDefault="003E0BAC">
      <w:pPr>
        <w:pStyle w:val="22"/>
        <w:framePr w:w="4450" w:h="8365" w:hRule="exact" w:wrap="none" w:vAnchor="page" w:hAnchor="page" w:x="1060" w:y="6080"/>
        <w:shd w:val="clear" w:color="auto" w:fill="auto"/>
        <w:spacing w:before="0"/>
        <w:ind w:firstLine="380"/>
      </w:pPr>
      <w:r>
        <w:t>Указані правовідносини складають осно</w:t>
      </w:r>
      <w:r>
        <w:softHyphen/>
        <w:t>ву цивільно-правового обігу та регулюють найбільш вагомі права фізичних та юридич</w:t>
      </w:r>
      <w:r>
        <w:softHyphen/>
        <w:t>них осіб, таких як право власності, право вол</w:t>
      </w:r>
      <w:r>
        <w:t>одіння і користування земельною ділян</w:t>
      </w:r>
      <w:r>
        <w:softHyphen/>
        <w:t>кою, право забудови, право сервітуту, іпоте</w:t>
      </w:r>
      <w:r>
        <w:softHyphen/>
        <w:t>ку, право управління майном тощо.</w:t>
      </w:r>
    </w:p>
    <w:p w:rsidR="00A4344D" w:rsidRDefault="003E0BAC">
      <w:pPr>
        <w:pStyle w:val="22"/>
        <w:framePr w:w="4450" w:h="8365" w:hRule="exact" w:wrap="none" w:vAnchor="page" w:hAnchor="page" w:x="1060" w:y="6080"/>
        <w:shd w:val="clear" w:color="auto" w:fill="auto"/>
        <w:spacing w:before="0"/>
        <w:ind w:firstLine="380"/>
      </w:pPr>
      <w:r>
        <w:t>Законність правочину, як відомо, бага</w:t>
      </w:r>
      <w:r>
        <w:softHyphen/>
        <w:t>то у чому залежить від дотримання форми його вчинення, визначеної чинним законо</w:t>
      </w:r>
      <w:r>
        <w:softHyphen/>
        <w:t>давством. При цьому по</w:t>
      </w:r>
      <w:r>
        <w:t>стійно зростає роль нотаріату, оскільки все ширшим стає коло правочинів, що потребують нотаріального посвідчення. І це абсолютно зрозуміло - за</w:t>
      </w:r>
      <w:r>
        <w:softHyphen/>
        <w:t>лучаючи до вчинення правочинів професій</w:t>
      </w:r>
      <w:r>
        <w:softHyphen/>
      </w:r>
    </w:p>
    <w:p w:rsidR="00A4344D" w:rsidRDefault="003E0BAC">
      <w:pPr>
        <w:pStyle w:val="22"/>
        <w:framePr w:w="4450" w:h="8360" w:hRule="exact" w:wrap="none" w:vAnchor="page" w:hAnchor="page" w:x="5735" w:y="6038"/>
        <w:shd w:val="clear" w:color="auto" w:fill="auto"/>
        <w:spacing w:before="0"/>
      </w:pPr>
      <w:r>
        <w:t>них юристів, які отримують спеціальну під</w:t>
      </w:r>
      <w:r>
        <w:softHyphen/>
        <w:t>готовку, держава робить усе м</w:t>
      </w:r>
      <w:r>
        <w:t>ожливе для забезпечення максимального рівня закон</w:t>
      </w:r>
      <w:r>
        <w:softHyphen/>
        <w:t>ності. Одночасно не можна забувати і про те, що однією з найважливіших функцій но</w:t>
      </w:r>
      <w:r>
        <w:softHyphen/>
        <w:t>таріату є правозахисна функція, яка полягає у забезпеченні дотримання учасниками ци</w:t>
      </w:r>
      <w:r>
        <w:softHyphen/>
        <w:t>вільно-правових відносин чинного законо</w:t>
      </w:r>
      <w:r>
        <w:softHyphen/>
      </w:r>
      <w:r>
        <w:t>давства. Реалізація цієї функції здійснюєть</w:t>
      </w:r>
      <w:r>
        <w:softHyphen/>
        <w:t>ся шляхом вчинення широкого спектру дій - починаючи від встановлення законності самого правочину, який сторони мають на</w:t>
      </w:r>
      <w:r>
        <w:softHyphen/>
        <w:t>мір укласти, визначенні право- і дієздатності сторін, наявності необхідних повноважень у пре</w:t>
      </w:r>
      <w:r>
        <w:t>дставників сторін правочину, наявність встановлених законом істотних умов дого</w:t>
      </w:r>
      <w:r>
        <w:softHyphen/>
        <w:t>вору, приналежність майна особі, що розпо</w:t>
      </w:r>
      <w:r>
        <w:softHyphen/>
        <w:t>ряджається нерухомістю, дотримання прав і законних інтересів третіх осіб, що не бе</w:t>
      </w:r>
      <w:r>
        <w:softHyphen/>
        <w:t>руть участі у договорі, перевірка відсутності обмеже</w:t>
      </w:r>
      <w:r>
        <w:t>нь (обтяжень) прав особи, що розпо</w:t>
      </w:r>
      <w:r>
        <w:softHyphen/>
        <w:t>ряджається нерухомістю, тощо.</w:t>
      </w:r>
    </w:p>
    <w:p w:rsidR="00A4344D" w:rsidRDefault="003E0BAC">
      <w:pPr>
        <w:pStyle w:val="22"/>
        <w:framePr w:w="4450" w:h="8360" w:hRule="exact" w:wrap="none" w:vAnchor="page" w:hAnchor="page" w:x="5735" w:y="6038"/>
        <w:shd w:val="clear" w:color="auto" w:fill="auto"/>
        <w:spacing w:before="0"/>
        <w:ind w:firstLine="380"/>
      </w:pPr>
      <w:r>
        <w:t>В сукупності передбачений законо</w:t>
      </w:r>
      <w:r>
        <w:softHyphen/>
        <w:t>давством комплекс обов’язкових дій, які зобов’язаний вчинити нотаріус, забезпечує охорону прав та законних інтересів сторін,</w:t>
      </w:r>
      <w:r>
        <w:t xml:space="preserve"> законність цивільно-правових відн</w:t>
      </w:r>
      <w:r>
        <w:t>осин у широкому розумінні цього слова.</w:t>
      </w:r>
    </w:p>
    <w:p w:rsidR="00A4344D" w:rsidRDefault="003E0BAC">
      <w:pPr>
        <w:pStyle w:val="22"/>
        <w:framePr w:w="4450" w:h="8360" w:hRule="exact" w:wrap="none" w:vAnchor="page" w:hAnchor="page" w:x="5735" w:y="6038"/>
        <w:shd w:val="clear" w:color="auto" w:fill="auto"/>
        <w:spacing w:before="0"/>
        <w:ind w:firstLine="380"/>
      </w:pPr>
      <w:r>
        <w:t>Нотаріус за допомогою наданих йому державою повноважень забезпечує захист майнових прав і свобод громадян і юридич</w:t>
      </w:r>
      <w:r>
        <w:softHyphen/>
        <w:t>них осіб від помилок, пов’язаних з недостат</w:t>
      </w:r>
      <w:r>
        <w:softHyphen/>
        <w:t>ньою правовою свідомістю. Нотаріальне по-</w:t>
      </w:r>
    </w:p>
    <w:p w:rsidR="00A4344D" w:rsidRDefault="003E0BAC">
      <w:pPr>
        <w:pStyle w:val="20"/>
        <w:framePr w:wrap="none" w:vAnchor="page" w:hAnchor="page" w:x="1060" w:y="14613"/>
        <w:shd w:val="clear" w:color="auto" w:fill="auto"/>
        <w:spacing w:after="0" w:line="210" w:lineRule="exact"/>
        <w:jc w:val="left"/>
      </w:pPr>
      <w:bookmarkStart w:id="3" w:name="bookmark3"/>
      <w:r>
        <w:t>— Європейські пе</w:t>
      </w:r>
      <w:r>
        <w:t>рспективи № 4 ч.2, 2011 — 106</w:t>
      </w:r>
      <w:bookmarkEnd w:id="3"/>
    </w:p>
    <w:p w:rsidR="00A4344D" w:rsidRDefault="00A4344D">
      <w:pPr>
        <w:rPr>
          <w:sz w:val="2"/>
          <w:szCs w:val="2"/>
        </w:rPr>
        <w:sectPr w:rsidR="00A43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344D" w:rsidRDefault="003E0BAC">
      <w:pPr>
        <w:pStyle w:val="a5"/>
        <w:framePr w:wrap="none" w:vAnchor="page" w:hAnchor="page" w:x="3605" w:y="1931"/>
        <w:shd w:val="clear" w:color="auto" w:fill="auto"/>
        <w:spacing w:line="200" w:lineRule="exact"/>
      </w:pPr>
      <w:r>
        <w:lastRenderedPageBreak/>
        <w:t>Фріс П.Л., Фріс І.П. - Питання реалізації правозахисної функції...</w:t>
      </w:r>
    </w:p>
    <w:p w:rsidR="00A4344D" w:rsidRDefault="003E0BAC">
      <w:pPr>
        <w:pStyle w:val="22"/>
        <w:framePr w:w="4474" w:h="12896" w:hRule="exact" w:wrap="none" w:vAnchor="page" w:hAnchor="page" w:x="1555" w:y="2385"/>
        <w:shd w:val="clear" w:color="auto" w:fill="auto"/>
        <w:spacing w:before="0"/>
      </w:pPr>
      <w:r>
        <w:t>свідчення є гарантією стабільності і безпеки цивільного обігу в державі.</w:t>
      </w:r>
    </w:p>
    <w:p w:rsidR="00A4344D" w:rsidRDefault="003E0BAC">
      <w:pPr>
        <w:pStyle w:val="22"/>
        <w:framePr w:w="4474" w:h="12896" w:hRule="exact" w:wrap="none" w:vAnchor="page" w:hAnchor="page" w:x="1555" w:y="2385"/>
        <w:shd w:val="clear" w:color="auto" w:fill="auto"/>
        <w:spacing w:before="0"/>
        <w:ind w:firstLine="400"/>
      </w:pPr>
      <w:r>
        <w:t xml:space="preserve">У праві більшості європейських держав активна позиція нотаріуса </w:t>
      </w:r>
      <w:r>
        <w:t>в наш час є не стільки даниною традиції, набутою за час становлення інституту нотаріату, скільки ефективним правовим інструментом для формування стабільного цивільного обігу.</w:t>
      </w:r>
    </w:p>
    <w:p w:rsidR="00A4344D" w:rsidRDefault="003E0BAC">
      <w:pPr>
        <w:pStyle w:val="22"/>
        <w:framePr w:w="4474" w:h="12896" w:hRule="exact" w:wrap="none" w:vAnchor="page" w:hAnchor="page" w:x="1555" w:y="2385"/>
        <w:shd w:val="clear" w:color="auto" w:fill="auto"/>
        <w:spacing w:before="0"/>
        <w:ind w:firstLine="400"/>
      </w:pPr>
      <w:r>
        <w:t>Європейський нотаріат успішно при</w:t>
      </w:r>
      <w:r>
        <w:softHyphen/>
        <w:t xml:space="preserve">стосувався до нових соціально-економічних умов </w:t>
      </w:r>
      <w:r>
        <w:t>і став своєрідним гарантом надійного правового забезпечення цивільно-правових відносин у державі.</w:t>
      </w:r>
    </w:p>
    <w:p w:rsidR="00A4344D" w:rsidRDefault="003E0BAC">
      <w:pPr>
        <w:pStyle w:val="22"/>
        <w:framePr w:w="4474" w:h="12896" w:hRule="exact" w:wrap="none" w:vAnchor="page" w:hAnchor="page" w:x="1555" w:y="2385"/>
        <w:shd w:val="clear" w:color="auto" w:fill="auto"/>
        <w:spacing w:before="0"/>
        <w:ind w:firstLine="400"/>
      </w:pPr>
      <w:r>
        <w:t>Однак, аналізуючи комплекс повнова</w:t>
      </w:r>
      <w:r>
        <w:softHyphen/>
        <w:t>жень нотаріуса з позицій забезпечення ним законності цивільного обігу в країні, необ</w:t>
      </w:r>
      <w:r>
        <w:softHyphen/>
        <w:t>хідно прийти до висновку про наявність</w:t>
      </w:r>
      <w:r>
        <w:t xml:space="preserve"> суттєвої прогалини. Вбачається, що, здій</w:t>
      </w:r>
      <w:r>
        <w:softHyphen/>
        <w:t>снивши достатньо детальну регламентацію діяльності нотаріату з позицій здійснення ним правозахисної функції, законодавець не довів це питання до логічного завершен</w:t>
      </w:r>
      <w:r>
        <w:softHyphen/>
        <w:t xml:space="preserve">ня, залишивши за межами нотаріального провадження </w:t>
      </w:r>
      <w:r>
        <w:t>останню стадію - стадію дер</w:t>
      </w:r>
      <w:r>
        <w:softHyphen/>
        <w:t>жавної реєстрації прав. При цьому аналіз законодавчого регулювання діяльності но</w:t>
      </w:r>
      <w:r>
        <w:softHyphen/>
        <w:t>таріату в більшості європейських країн свід</w:t>
      </w:r>
      <w:r>
        <w:softHyphen/>
        <w:t>чить, що саме ця функція покладена на но</w:t>
      </w:r>
      <w:r>
        <w:softHyphen/>
        <w:t>таріуса, чим забезпечується комплексність усього процесу реалі</w:t>
      </w:r>
      <w:r>
        <w:t>зації правоохоронної функції нотаріату.</w:t>
      </w:r>
    </w:p>
    <w:p w:rsidR="00A4344D" w:rsidRDefault="003E0BAC">
      <w:pPr>
        <w:pStyle w:val="22"/>
        <w:framePr w:w="4474" w:h="12896" w:hRule="exact" w:wrap="none" w:vAnchor="page" w:hAnchor="page" w:x="1555" w:y="2385"/>
        <w:shd w:val="clear" w:color="auto" w:fill="auto"/>
        <w:spacing w:before="0"/>
        <w:ind w:firstLine="400"/>
      </w:pPr>
      <w:r>
        <w:t>Слід зазначити, що за роки незалежності в питанні державної реєстрації прав зробле</w:t>
      </w:r>
      <w:r>
        <w:softHyphen/>
        <w:t>но чимало і цей позитивний факт не можна замовчувати. Однак ми перебуваємо, усе ж таки, на початковому етапі цього процесу. З 1 січня</w:t>
      </w:r>
      <w:r>
        <w:t xml:space="preserve"> 2012 року в питаннях державної реє</w:t>
      </w:r>
      <w:r>
        <w:softHyphen/>
        <w:t>страції повинні були відбутись суттєві зміни. Однак законодавець, і йому слід віддати на</w:t>
      </w:r>
      <w:r>
        <w:softHyphen/>
        <w:t>лежне, спромігся визнати непідготовленість до впровадження цих, воістину революцій</w:t>
      </w:r>
      <w:r>
        <w:softHyphen/>
        <w:t>них змін, оцінивши непідготовленість до їх впров</w:t>
      </w:r>
      <w:r>
        <w:t>адження. У зв'язку з цим вбачається необхідним оцінити деякі із запланованих змін у питанні державної реєстрації прав на нерухоме майно.</w:t>
      </w:r>
    </w:p>
    <w:p w:rsidR="00A4344D" w:rsidRDefault="003E0BAC">
      <w:pPr>
        <w:pStyle w:val="22"/>
        <w:framePr w:w="4474" w:h="12896" w:hRule="exact" w:wrap="none" w:vAnchor="page" w:hAnchor="page" w:x="1555" w:y="2385"/>
        <w:shd w:val="clear" w:color="auto" w:fill="auto"/>
        <w:spacing w:before="0"/>
        <w:ind w:firstLine="400"/>
      </w:pPr>
      <w:r>
        <w:t>У першу чергу слід зазначити, що зако</w:t>
      </w:r>
      <w:r>
        <w:softHyphen/>
        <w:t>нодавство доволі чітко визначає форми вза</w:t>
      </w:r>
      <w:r>
        <w:softHyphen/>
        <w:t>ємодії між органами нотаріату, які здій</w:t>
      </w:r>
      <w:r>
        <w:t>сню</w:t>
      </w:r>
      <w:r>
        <w:softHyphen/>
        <w:t>ють нотаріальне посвідчення правочинів та органами, що проводять кадастровий облік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</w:pPr>
      <w:r>
        <w:t>нерухомості та державну реєстрацію прав на неї.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  <w:ind w:firstLine="400"/>
      </w:pPr>
      <w:r>
        <w:t>При цьому нотаріуси, з одного боку, ви</w:t>
      </w:r>
      <w:r>
        <w:softHyphen/>
        <w:t>ступають, як споживачі інформації, що міс</w:t>
      </w:r>
      <w:r>
        <w:softHyphen/>
        <w:t>титься в публічних реєстрах, з метою на</w:t>
      </w:r>
      <w:r>
        <w:softHyphen/>
      </w:r>
      <w:r>
        <w:t>лежної ідентифікації об’єкта нерухомості, визначення суб’єктивних прав зацікавлених осіб, зареєстрованих обмежень та обтяжень при посвідченні правочинів і здійсненні інших нотаріальних дій з нерухомістю, З другого боку, правочини щодо нерухомо</w:t>
      </w:r>
      <w:r>
        <w:softHyphen/>
        <w:t>го майна, як</w:t>
      </w:r>
      <w:r>
        <w:t>і відповідно до законодавства України підлягають обов’язковому нотарі</w:t>
      </w:r>
      <w:r>
        <w:softHyphen/>
        <w:t>альному посвідченню і відображають права та обов'язки сторін стосовно тих чи інших об’єктів нерухомості, виступають у якос</w:t>
      </w:r>
      <w:r>
        <w:softHyphen/>
        <w:t>ті одного з первинних джерел наповнення правовою інформацією вк</w:t>
      </w:r>
      <w:r>
        <w:t>азаних публічних реєстрів.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  <w:ind w:firstLine="400"/>
      </w:pPr>
      <w:r>
        <w:t>Взаємозв’язок процесів нотаріального посвідчення і реєстрації прав є такий, що без їх повноцінної й ефективної взаємодії реалізація кожної із систем - нотаріальної й обліково-реєстраційної не може бути ефек</w:t>
      </w:r>
      <w:r>
        <w:softHyphen/>
        <w:t>тивним.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  <w:ind w:firstLine="400"/>
      </w:pPr>
      <w:r>
        <w:t>В основі таког</w:t>
      </w:r>
      <w:r>
        <w:t>о висновку проста ідея про те, що вірогідність і, отже, юридична дій</w:t>
      </w:r>
      <w:r>
        <w:softHyphen/>
        <w:t>сність нотаріального акта в сфері нерухомос</w:t>
      </w:r>
      <w:r>
        <w:softHyphen/>
        <w:t>ті прямо залежить від вірогідності і дійснос</w:t>
      </w:r>
      <w:r>
        <w:softHyphen/>
        <w:t xml:space="preserve">ті даних, отриманих з публічних реєстрів нерухомості і, навпаки: немає і не може бути достовірних </w:t>
      </w:r>
      <w:r>
        <w:t>реєстрів там, де юридична без</w:t>
      </w:r>
      <w:r>
        <w:softHyphen/>
        <w:t>пека і вірогідність первинних юридичних документів сумнівні.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  <w:ind w:firstLine="400"/>
      </w:pPr>
      <w:r>
        <w:t>Фактично нотаріальне посвідчення пра- вочину і державна реєстрація прав, які з нього випливають, являють собою дві сто</w:t>
      </w:r>
      <w:r>
        <w:softHyphen/>
        <w:t>рони тої самої медалі. Тому їх розділення не м</w:t>
      </w:r>
      <w:r>
        <w:t>оже бути визнано об’єктивним.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  <w:ind w:firstLine="400"/>
      </w:pPr>
      <w:r>
        <w:t>В зв’язку з цим нормативна база, яка на сьогодні визначає ці процеси, підлягає ко</w:t>
      </w:r>
      <w:r>
        <w:softHyphen/>
        <w:t>регуванню.</w:t>
      </w:r>
    </w:p>
    <w:p w:rsidR="00A4344D" w:rsidRDefault="003E0BAC">
      <w:pPr>
        <w:pStyle w:val="22"/>
        <w:framePr w:w="4474" w:h="12886" w:hRule="exact" w:wrap="none" w:vAnchor="page" w:hAnchor="page" w:x="6230" w:y="2380"/>
        <w:shd w:val="clear" w:color="auto" w:fill="auto"/>
        <w:spacing w:before="0"/>
        <w:ind w:firstLine="400"/>
      </w:pPr>
      <w:r>
        <w:t>При існуючому нормативному регу</w:t>
      </w:r>
      <w:r>
        <w:softHyphen/>
        <w:t>люванні відсутня пряма взаємодія між по</w:t>
      </w:r>
      <w:r>
        <w:softHyphen/>
        <w:t xml:space="preserve">свідченням правочину і реєстрацією прав, коли в протиріччя з </w:t>
      </w:r>
      <w:r>
        <w:t>усіма законами логіки і юридичної безпеки основний документоо</w:t>
      </w:r>
      <w:r>
        <w:softHyphen/>
        <w:t>біг між ними йде через самих зацікавлених осіб (сторін правочину, їхніх представників тощо). Це безумовно, по-перше, створює си</w:t>
      </w:r>
      <w:r>
        <w:softHyphen/>
        <w:t>туацію, здатну вплинути на дотримання за-</w:t>
      </w:r>
    </w:p>
    <w:p w:rsidR="00A4344D" w:rsidRDefault="003E0BAC">
      <w:pPr>
        <w:pStyle w:val="24"/>
        <w:framePr w:wrap="none" w:vAnchor="page" w:hAnchor="page" w:x="5957" w:y="15473"/>
        <w:shd w:val="clear" w:color="auto" w:fill="auto"/>
        <w:spacing w:line="180" w:lineRule="exact"/>
      </w:pPr>
      <w:r>
        <w:t>107</w:t>
      </w:r>
    </w:p>
    <w:p w:rsidR="00A4344D" w:rsidRDefault="00A4344D">
      <w:pPr>
        <w:rPr>
          <w:sz w:val="2"/>
          <w:szCs w:val="2"/>
        </w:rPr>
        <w:sectPr w:rsidR="00A43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344D" w:rsidRDefault="003E0BAC">
      <w:pPr>
        <w:pStyle w:val="20"/>
        <w:framePr w:wrap="none" w:vAnchor="page" w:hAnchor="page" w:x="1142" w:y="1215"/>
        <w:shd w:val="clear" w:color="auto" w:fill="auto"/>
        <w:spacing w:after="0" w:line="210" w:lineRule="exact"/>
        <w:ind w:left="1320"/>
        <w:jc w:val="left"/>
      </w:pPr>
      <w:bookmarkStart w:id="4" w:name="bookmark4"/>
      <w:r>
        <w:lastRenderedPageBreak/>
        <w:t>Цивільне, підприємницьке, господарське та трудове право</w:t>
      </w:r>
      <w:bookmarkEnd w:id="4"/>
    </w:p>
    <w:p w:rsidR="00A4344D" w:rsidRDefault="003E0BAC">
      <w:pPr>
        <w:pStyle w:val="22"/>
        <w:framePr w:w="4483" w:h="12915" w:hRule="exact" w:wrap="none" w:vAnchor="page" w:hAnchor="page" w:x="1152" w:y="1495"/>
        <w:shd w:val="clear" w:color="auto" w:fill="auto"/>
        <w:spacing w:before="0"/>
      </w:pPr>
      <w:r>
        <w:t>конності. а, по-друге, є доволі незручним і для сторін, які змушені самостійно збирати і подавати на реєстрацію всі необхідні доку</w:t>
      </w:r>
      <w:r>
        <w:softHyphen/>
        <w:t>менти.</w:t>
      </w:r>
    </w:p>
    <w:p w:rsidR="00A4344D" w:rsidRDefault="003E0BAC">
      <w:pPr>
        <w:pStyle w:val="22"/>
        <w:framePr w:w="4483" w:h="12915" w:hRule="exact" w:wrap="none" w:vAnchor="page" w:hAnchor="page" w:x="1152" w:y="1495"/>
        <w:shd w:val="clear" w:color="auto" w:fill="auto"/>
        <w:spacing w:before="0"/>
        <w:ind w:firstLine="400"/>
      </w:pPr>
      <w:r>
        <w:t xml:space="preserve">Необхідно також зауважити, що </w:t>
      </w:r>
      <w:r>
        <w:rPr>
          <w:rStyle w:val="285pt0pt"/>
        </w:rPr>
        <w:t>від</w:t>
      </w:r>
      <w:r>
        <w:rPr>
          <w:rStyle w:val="285pt0pt"/>
        </w:rPr>
        <w:softHyphen/>
        <w:t xml:space="preserve">сутність </w:t>
      </w:r>
      <w:r>
        <w:t xml:space="preserve">державної </w:t>
      </w:r>
      <w:r>
        <w:t>реєстрації прав на не</w:t>
      </w:r>
      <w:r>
        <w:softHyphen/>
        <w:t>рухомість безпосередньо нотаріусом, який посвідчує відповідний правочин, веде до не</w:t>
      </w:r>
      <w:r>
        <w:softHyphen/>
        <w:t>обгрунтованого дублювання даних функцій при проведенні державної реєстрації прав, заснованих на таких правочинах.</w:t>
      </w:r>
    </w:p>
    <w:p w:rsidR="00A4344D" w:rsidRDefault="003E0BAC">
      <w:pPr>
        <w:pStyle w:val="22"/>
        <w:framePr w:w="4483" w:h="12915" w:hRule="exact" w:wrap="none" w:vAnchor="page" w:hAnchor="page" w:x="1152" w:y="1495"/>
        <w:shd w:val="clear" w:color="auto" w:fill="auto"/>
        <w:spacing w:before="0"/>
        <w:ind w:firstLine="400"/>
      </w:pPr>
      <w:r>
        <w:t>І ще одна доволі суттєва проблема.</w:t>
      </w:r>
    </w:p>
    <w:p w:rsidR="00A4344D" w:rsidRDefault="003E0BAC">
      <w:pPr>
        <w:pStyle w:val="22"/>
        <w:framePr w:w="4483" w:h="12915" w:hRule="exact" w:wrap="none" w:vAnchor="page" w:hAnchor="page" w:x="1152" w:y="1495"/>
        <w:shd w:val="clear" w:color="auto" w:fill="auto"/>
        <w:spacing w:before="0"/>
        <w:ind w:firstLine="400"/>
      </w:pPr>
      <w:r>
        <w:t>С</w:t>
      </w:r>
      <w:r>
        <w:t>ьогодні відповідно до діючого зако</w:t>
      </w:r>
      <w:r>
        <w:softHyphen/>
        <w:t>нодавства державним реєстраторам нада</w:t>
      </w:r>
      <w:r>
        <w:softHyphen/>
        <w:t>ється право витребовувати та перевіряти документи, на підставі яких нотаріусами по</w:t>
      </w:r>
      <w:r>
        <w:t>свідчуються договори. Це, фактично, є реві</w:t>
      </w:r>
      <w:r>
        <w:softHyphen/>
        <w:t>зуванням цих договорів і, відповідно, реві</w:t>
      </w:r>
      <w:r>
        <w:softHyphen/>
        <w:t>зуванням діял</w:t>
      </w:r>
      <w:r>
        <w:t>ьності нотаріусів. Державний реєстратор перетворюється в наглядача за нотаріатом органом. При цьому державно</w:t>
      </w:r>
      <w:r>
        <w:softHyphen/>
        <w:t>му реєстратору надається право відмовити в державній реєстрації права власності, на</w:t>
      </w:r>
      <w:r>
        <w:softHyphen/>
        <w:t>віть у тому випадку, коли до нього поступає на реєстрацію догов</w:t>
      </w:r>
      <w:r>
        <w:t>ір, посвідчений нотарі</w:t>
      </w:r>
      <w:r>
        <w:softHyphen/>
        <w:t>усом. Це прямо суперечить вимогам чинно</w:t>
      </w:r>
      <w:r>
        <w:softHyphen/>
        <w:t>го Закону «Про нотаріат» щодо державного регулювання нотаріальної діяльності та га</w:t>
      </w:r>
      <w:r>
        <w:softHyphen/>
        <w:t>рантій діяльності нотаріусів.</w:t>
      </w:r>
    </w:p>
    <w:p w:rsidR="00A4344D" w:rsidRDefault="003E0BAC">
      <w:pPr>
        <w:pStyle w:val="22"/>
        <w:framePr w:w="4483" w:h="12915" w:hRule="exact" w:wrap="none" w:vAnchor="page" w:hAnchor="page" w:x="1152" w:y="1495"/>
        <w:shd w:val="clear" w:color="auto" w:fill="auto"/>
        <w:spacing w:before="0"/>
        <w:ind w:firstLine="400"/>
      </w:pPr>
      <w:r>
        <w:t>Таке формулювання норм Закону «Про державну реєстрацію речових прав на не</w:t>
      </w:r>
      <w:r>
        <w:softHyphen/>
        <w:t>рухоме</w:t>
      </w:r>
      <w:r>
        <w:t xml:space="preserve"> майно та їх обтяжень» дає підста</w:t>
      </w:r>
      <w:r>
        <w:softHyphen/>
        <w:t>ви припускати, що державний реєстратор фактично виконуватиме функції судді, на</w:t>
      </w:r>
      <w:r>
        <w:softHyphen/>
        <w:t>даючи оцінки законності дій нотаріуса. Мало того. Відмова у державній реєстрації по суті є визнанням незаконності догово</w:t>
      </w:r>
      <w:r>
        <w:softHyphen/>
        <w:t>ру. що є грубим поруше</w:t>
      </w:r>
      <w:r>
        <w:t>нням конституцій</w:t>
      </w:r>
      <w:r>
        <w:softHyphen/>
        <w:t>них принципів, «перетягненням» на дер</w:t>
      </w:r>
      <w:r>
        <w:softHyphen/>
        <w:t>жавний орган неналежних йому функцій, перетворення його в орган правосуддя, що є недопустимим. Державний службо</w:t>
      </w:r>
      <w:r>
        <w:softHyphen/>
        <w:t>вець фактично отримує право давати пра</w:t>
      </w:r>
      <w:r>
        <w:softHyphen/>
        <w:t xml:space="preserve">вове </w:t>
      </w:r>
      <w:r>
        <w:rPr>
          <w:rStyle w:val="285pt0pt"/>
        </w:rPr>
        <w:t xml:space="preserve">оцінку </w:t>
      </w:r>
      <w:r>
        <w:t xml:space="preserve">договору про перехід права власності, </w:t>
      </w:r>
      <w:r>
        <w:t>що суперечить самій природі нотаріального акту, який є безспірним до моменту визнання його недійсності на під</w:t>
      </w:r>
      <w:r>
        <w:softHyphen/>
        <w:t xml:space="preserve">ставі рішення </w:t>
      </w:r>
      <w:r>
        <w:rPr>
          <w:rStyle w:val="285pt0pt"/>
        </w:rPr>
        <w:t xml:space="preserve">суду. </w:t>
      </w:r>
      <w:r>
        <w:t>Наявність таких повно</w:t>
      </w:r>
      <w:r>
        <w:softHyphen/>
        <w:t>важення є під</w:t>
      </w:r>
      <w:r w:rsidR="00203AE1">
        <w:t>ґ</w:t>
      </w:r>
      <w:r>
        <w:t>рунтям для зловживань, для вчинення корупційних діянь, призведе до порушень прав і законни</w:t>
      </w:r>
      <w:r>
        <w:t>х інтересів грома</w:t>
      </w:r>
      <w:r>
        <w:softHyphen/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</w:pPr>
      <w:r>
        <w:t>дян України та інших учасників цивільного правообігу.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Довший час, а саме з 2004 року, коли чинним Цивільним кодексом України, було визначено процедуру реєстрації пра</w:t>
      </w:r>
      <w:r>
        <w:t xml:space="preserve">вочинів, нотаріуси </w:t>
      </w:r>
      <w:r>
        <w:rPr>
          <w:rStyle w:val="285pt0pt"/>
        </w:rPr>
        <w:t xml:space="preserve">сумлінно </w:t>
      </w:r>
      <w:r>
        <w:t>виконували ці функції одночасно з покладен</w:t>
      </w:r>
      <w:r>
        <w:t>ими на них публічними повноваженнями при посвід</w:t>
      </w:r>
      <w:r>
        <w:softHyphen/>
        <w:t>ченні правочи</w:t>
      </w:r>
      <w:r w:rsidR="00203AE1">
        <w:t>н</w:t>
      </w:r>
      <w:r>
        <w:t>ів з нерухомістю. Внесення відповідних відомостей до публічних реє</w:t>
      </w:r>
      <w:r>
        <w:softHyphen/>
        <w:t xml:space="preserve">стрів було виключно технічним процесом, в зв’язку </w:t>
      </w:r>
      <w:r>
        <w:rPr>
          <w:rStyle w:val="285pt0pt"/>
        </w:rPr>
        <w:t xml:space="preserve">з тим, </w:t>
      </w:r>
      <w:r>
        <w:t>що не можливо визначати реєстрацію будь-яких прав, як підставу ви</w:t>
      </w:r>
      <w:r>
        <w:softHyphen/>
        <w:t>никн</w:t>
      </w:r>
      <w:r>
        <w:t>ення права власності, яке є первинним і виникає на підставі волевиявлення учас</w:t>
      </w:r>
      <w:r>
        <w:softHyphen/>
        <w:t>ників відповідних правовідносин та їх юри</w:t>
      </w:r>
      <w:r>
        <w:softHyphen/>
        <w:t>дичного оформлення.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Передача нотаріусу повноважень по реє</w:t>
      </w:r>
      <w:r>
        <w:softHyphen/>
        <w:t>страції прав на нерухоме майно створило би єдиний логічний комплекс, ліквідув</w:t>
      </w:r>
      <w:r>
        <w:t>ала би дисбаланс в порядок виникнення законних прав на нерухоме майно.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І ще одне надзвичайно важливе питання - відповідальність.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При вчиненні нотаріальних дій, нотарі</w:t>
      </w:r>
      <w:r>
        <w:softHyphen/>
        <w:t>уси несуть повну матеріальну відповідаль</w:t>
      </w:r>
      <w:r>
        <w:softHyphen/>
        <w:t>ність, яка полягає в тому що шкода завдана непра</w:t>
      </w:r>
      <w:r>
        <w:t>вомірними діями або помилкою нота</w:t>
      </w:r>
      <w:r>
        <w:softHyphen/>
        <w:t>ріуса відшкодовується ним особисто в по</w:t>
      </w:r>
      <w:r>
        <w:softHyphen/>
        <w:t>вному обсязі.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Помилка ж державного реєстратора має чисто декларативних характер. Державний реєстратор за порушення законодавства у сфері державної реєстрації прав несе дисци</w:t>
      </w:r>
      <w:r>
        <w:softHyphen/>
        <w:t>плінарну</w:t>
      </w:r>
      <w:r>
        <w:t>, цивільно-правову або криміналь</w:t>
      </w:r>
      <w:r>
        <w:softHyphen/>
        <w:t>ну відповідальність у порядку, встановле</w:t>
      </w:r>
      <w:r>
        <w:softHyphen/>
        <w:t>ному законом, яка фактично не визначена. По суті, гарантії діяльності в сфері реєстра</w:t>
      </w:r>
      <w:r>
        <w:softHyphen/>
        <w:t>ції прав та питання відшкодування шкоди, завданої державним реєстратором, лягати</w:t>
      </w:r>
      <w:r>
        <w:softHyphen/>
        <w:t>муть тягарем на</w:t>
      </w:r>
      <w:r>
        <w:t xml:space="preserve"> державний бюджет.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Тому наявність чіткого механізму від</w:t>
      </w:r>
      <w:r>
        <w:softHyphen/>
        <w:t>шкодування шкоди, який передбачений стосовно нотаріуса, є ще однією вагомою підставою для реалізації безпосередньо но</w:t>
      </w:r>
      <w:r>
        <w:softHyphen/>
        <w:t>таріусом повноважень щодо державної реє</w:t>
      </w:r>
      <w:r>
        <w:softHyphen/>
        <w:t>страції прав на нерухомість.</w:t>
      </w:r>
    </w:p>
    <w:p w:rsidR="00A4344D" w:rsidRDefault="003E0BAC">
      <w:pPr>
        <w:pStyle w:val="22"/>
        <w:framePr w:w="4498" w:h="12915" w:hRule="exact" w:wrap="none" w:vAnchor="page" w:hAnchor="page" w:x="5846" w:y="1495"/>
        <w:shd w:val="clear" w:color="auto" w:fill="auto"/>
        <w:spacing w:before="0"/>
        <w:ind w:firstLine="400"/>
      </w:pPr>
      <w:r>
        <w:t>І, на кінець,</w:t>
      </w:r>
      <w:r>
        <w:t xml:space="preserve"> останнє. Вже зазначалось, що нотаріус є особою спеціально підготов</w:t>
      </w:r>
      <w:r>
        <w:softHyphen/>
        <w:t>леною до здійснення нотаріальної діяль</w:t>
      </w:r>
      <w:r>
        <w:softHyphen/>
        <w:t>ності. Усім добре відомо, які високі вимоги</w:t>
      </w:r>
    </w:p>
    <w:p w:rsidR="00A4344D" w:rsidRDefault="003E0BAC">
      <w:pPr>
        <w:pStyle w:val="20"/>
        <w:framePr w:wrap="none" w:vAnchor="page" w:hAnchor="page" w:x="1142" w:y="14579"/>
        <w:shd w:val="clear" w:color="auto" w:fill="auto"/>
        <w:spacing w:after="0" w:line="220" w:lineRule="exact"/>
        <w:jc w:val="left"/>
      </w:pPr>
      <w:bookmarkStart w:id="5" w:name="bookmark5"/>
      <w:r>
        <w:t xml:space="preserve">= Європейські перспективи № 4 ч.2, 2011 = </w:t>
      </w:r>
      <w:r>
        <w:rPr>
          <w:rStyle w:val="211pt"/>
        </w:rPr>
        <w:t>108</w:t>
      </w:r>
      <w:bookmarkEnd w:id="5"/>
    </w:p>
    <w:p w:rsidR="00A4344D" w:rsidRDefault="00A4344D">
      <w:pPr>
        <w:rPr>
          <w:sz w:val="2"/>
          <w:szCs w:val="2"/>
        </w:rPr>
        <w:sectPr w:rsidR="00A43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344D" w:rsidRDefault="003E0BAC">
      <w:pPr>
        <w:pStyle w:val="a5"/>
        <w:framePr w:wrap="none" w:vAnchor="page" w:hAnchor="page" w:x="3683" w:y="1962"/>
        <w:shd w:val="clear" w:color="auto" w:fill="auto"/>
        <w:spacing w:line="200" w:lineRule="exact"/>
      </w:pPr>
      <w:r>
        <w:lastRenderedPageBreak/>
        <w:t xml:space="preserve">Фріс П.Л., Фріс І.П. - Питання </w:t>
      </w:r>
      <w:r>
        <w:t>реалізації правозахисної функції...</w:t>
      </w:r>
    </w:p>
    <w:p w:rsidR="00A4344D" w:rsidRDefault="003E0BAC">
      <w:pPr>
        <w:pStyle w:val="22"/>
        <w:framePr w:w="4483" w:h="7371" w:hRule="exact" w:wrap="none" w:vAnchor="page" w:hAnchor="page" w:x="1639" w:y="2450"/>
        <w:shd w:val="clear" w:color="auto" w:fill="auto"/>
        <w:spacing w:before="0"/>
      </w:pPr>
      <w:r>
        <w:t>пред’являються до осіб, що мають намір її здійснювати. Законом передбачено прохо</w:t>
      </w:r>
      <w:r>
        <w:softHyphen/>
        <w:t>джен</w:t>
      </w:r>
      <w:r>
        <w:t>ня тривалого стажування, здача іспитів тощо. Підготовка ж державного реєстрато</w:t>
      </w:r>
      <w:r>
        <w:softHyphen/>
        <w:t>ра не може бути порівняна з підготовкою нотаріуса. Ми не маємо наміру жодним чи</w:t>
      </w:r>
      <w:r>
        <w:softHyphen/>
        <w:t>ном принизити осіб, які здійснюють дер</w:t>
      </w:r>
      <w:r>
        <w:softHyphen/>
        <w:t>жавну реєстрацію. Однак для об’єктивності зазначимо, що на</w:t>
      </w:r>
      <w:r>
        <w:t xml:space="preserve"> цих посадах доволі висо</w:t>
      </w:r>
      <w:r>
        <w:softHyphen/>
        <w:t>ка плинність кадрів, достатньо молодий вік службовців при відсутності належного досві</w:t>
      </w:r>
      <w:r>
        <w:softHyphen/>
        <w:t>ду роботи та т.</w:t>
      </w:r>
      <w:r w:rsidR="00203AE1">
        <w:t xml:space="preserve"> </w:t>
      </w:r>
      <w:bookmarkStart w:id="6" w:name="_GoBack"/>
      <w:bookmarkEnd w:id="6"/>
      <w:r>
        <w:t>ін.</w:t>
      </w:r>
    </w:p>
    <w:p w:rsidR="00A4344D" w:rsidRDefault="003E0BAC">
      <w:pPr>
        <w:pStyle w:val="22"/>
        <w:framePr w:w="4483" w:h="7371" w:hRule="exact" w:wrap="none" w:vAnchor="page" w:hAnchor="page" w:x="1639" w:y="2450"/>
        <w:shd w:val="clear" w:color="auto" w:fill="auto"/>
        <w:spacing w:before="0"/>
        <w:ind w:firstLine="380"/>
      </w:pPr>
      <w:r>
        <w:t>Сьогодні система нотаріату в Україні - це виважений і сформований державою пу</w:t>
      </w:r>
      <w:r>
        <w:softHyphen/>
        <w:t xml:space="preserve">блічно-правовий інститут уповноважений державою </w:t>
      </w:r>
      <w:r>
        <w:t>на здійснення важливої публічної функції. Він на належному рівні протягом багатьох років виконує покладені на нього</w:t>
      </w:r>
    </w:p>
    <w:p w:rsidR="00A4344D" w:rsidRDefault="003E0BAC">
      <w:pPr>
        <w:pStyle w:val="22"/>
        <w:framePr w:w="4474" w:h="7323" w:hRule="exact" w:wrap="none" w:vAnchor="page" w:hAnchor="page" w:x="6343" w:y="2495"/>
        <w:shd w:val="clear" w:color="auto" w:fill="auto"/>
        <w:spacing w:before="0"/>
      </w:pPr>
      <w:r>
        <w:t>обов’язків, у том</w:t>
      </w:r>
      <w:r>
        <w:t>у числі щодо реєстрації від</w:t>
      </w:r>
      <w:r>
        <w:softHyphen/>
        <w:t>повідних прав, обмежень та обтяжень.</w:t>
      </w:r>
    </w:p>
    <w:p w:rsidR="00203AE1" w:rsidRDefault="003E0BAC" w:rsidP="00203AE1">
      <w:pPr>
        <w:pStyle w:val="50"/>
        <w:framePr w:w="4474" w:h="7323" w:hRule="exact" w:wrap="none" w:vAnchor="page" w:hAnchor="page" w:x="6343" w:y="2495"/>
        <w:shd w:val="clear" w:color="auto" w:fill="auto"/>
        <w:ind w:firstLine="567"/>
        <w:jc w:val="both"/>
      </w:pPr>
      <w:r w:rsidRPr="00203AE1">
        <w:rPr>
          <w:b w:val="0"/>
          <w:i w:val="0"/>
        </w:rPr>
        <w:t xml:space="preserve">Створення системи реєстрації речових прав, яка була б зручною для учасників цивільно-правового обігу та відповідною, з точки зору ведення обліку інформації, яка має публічний характер, не </w:t>
      </w:r>
      <w:r w:rsidRPr="00203AE1">
        <w:rPr>
          <w:b w:val="0"/>
          <w:i w:val="0"/>
        </w:rPr>
        <w:t>може бути здій</w:t>
      </w:r>
      <w:r w:rsidRPr="00203AE1">
        <w:rPr>
          <w:b w:val="0"/>
          <w:i w:val="0"/>
        </w:rPr>
        <w:softHyphen/>
        <w:t>снено без участі нотаріусів у системі реєстра</w:t>
      </w:r>
      <w:r w:rsidRPr="00203AE1">
        <w:rPr>
          <w:b w:val="0"/>
          <w:i w:val="0"/>
        </w:rPr>
        <w:softHyphen/>
        <w:t>ції речових прав. При цьому буде досягнуто спрощення багатьох процедур та забезпече</w:t>
      </w:r>
      <w:r w:rsidRPr="00203AE1">
        <w:rPr>
          <w:b w:val="0"/>
          <w:i w:val="0"/>
        </w:rPr>
        <w:softHyphen/>
        <w:t>но існування принципу “єдиного вікна”. Ре</w:t>
      </w:r>
      <w:r w:rsidRPr="00203AE1">
        <w:rPr>
          <w:b w:val="0"/>
          <w:i w:val="0"/>
        </w:rPr>
        <w:softHyphen/>
        <w:t>єстрація права власності на нерухоме майно нотаріусом після нотаріаль</w:t>
      </w:r>
      <w:r w:rsidRPr="00203AE1">
        <w:rPr>
          <w:b w:val="0"/>
          <w:i w:val="0"/>
        </w:rPr>
        <w:t>ного посвідчення ним правочину має бути обов’язковою, що в свою чергу спростить існуючий порядок та надасть більше зручності учасникам від</w:t>
      </w:r>
      <w:r w:rsidRPr="00203AE1">
        <w:rPr>
          <w:b w:val="0"/>
          <w:i w:val="0"/>
        </w:rPr>
        <w:softHyphen/>
        <w:t>повідних правовідносин без виникнення додаткового навантаження на державний</w:t>
      </w:r>
      <w:r>
        <w:t xml:space="preserve"> бюджет.</w:t>
      </w:r>
      <w:r w:rsidR="00203AE1" w:rsidRPr="00203AE1">
        <w:t xml:space="preserve"> </w:t>
      </w:r>
    </w:p>
    <w:p w:rsidR="00203AE1" w:rsidRDefault="00203AE1" w:rsidP="00203AE1">
      <w:pPr>
        <w:pStyle w:val="50"/>
        <w:framePr w:w="4474" w:h="7323" w:hRule="exact" w:wrap="none" w:vAnchor="page" w:hAnchor="page" w:x="6343" w:y="2495"/>
        <w:shd w:val="clear" w:color="auto" w:fill="auto"/>
      </w:pPr>
      <w:r>
        <w:t>АНОТАЦІЯ</w:t>
      </w:r>
    </w:p>
    <w:p w:rsidR="00203AE1" w:rsidRDefault="00203AE1" w:rsidP="00203AE1">
      <w:pPr>
        <w:pStyle w:val="40"/>
        <w:framePr w:w="4474" w:h="7323" w:hRule="exact" w:wrap="none" w:vAnchor="page" w:hAnchor="page" w:x="6343" w:y="2495"/>
        <w:shd w:val="clear" w:color="auto" w:fill="auto"/>
        <w:ind w:left="140" w:firstLine="360"/>
      </w:pPr>
      <w:r>
        <w:t>В статті розглядаються питання реалі</w:t>
      </w:r>
      <w:r>
        <w:softHyphen/>
        <w:t>зації правозахисної функції в діяльності нота</w:t>
      </w:r>
      <w:r>
        <w:softHyphen/>
        <w:t>ріату України, аналізуються конкретні повно</w:t>
      </w:r>
      <w:r>
        <w:softHyphen/>
        <w:t>важення органів нотаріату в контексті Зако</w:t>
      </w:r>
      <w:r>
        <w:softHyphen/>
        <w:t>ну України «Про державну реєстрацію речових прав на нерухоме маїто та їх обтяжень», вно</w:t>
      </w:r>
      <w:r>
        <w:softHyphen/>
        <w:t>сяться пропозиції щодо змін повноважень но</w:t>
      </w:r>
      <w:r>
        <w:softHyphen/>
        <w:t>таріату у питаннях реєстрації речових прав учасників цивільно-правових відносин.</w:t>
      </w:r>
    </w:p>
    <w:p w:rsidR="00A4344D" w:rsidRDefault="00A4344D">
      <w:pPr>
        <w:pStyle w:val="22"/>
        <w:framePr w:w="4474" w:h="7323" w:hRule="exact" w:wrap="none" w:vAnchor="page" w:hAnchor="page" w:x="6343" w:y="2495"/>
        <w:shd w:val="clear" w:color="auto" w:fill="auto"/>
        <w:spacing w:before="0"/>
        <w:ind w:firstLine="380"/>
      </w:pPr>
    </w:p>
    <w:p w:rsidR="00A4344D" w:rsidRDefault="00A4344D">
      <w:pPr>
        <w:rPr>
          <w:sz w:val="2"/>
          <w:szCs w:val="2"/>
        </w:rPr>
      </w:pPr>
    </w:p>
    <w:sectPr w:rsidR="00A434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AC" w:rsidRDefault="003E0BAC">
      <w:r>
        <w:separator/>
      </w:r>
    </w:p>
  </w:endnote>
  <w:endnote w:type="continuationSeparator" w:id="0">
    <w:p w:rsidR="003E0BAC" w:rsidRDefault="003E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AC" w:rsidRDefault="003E0BAC"/>
  </w:footnote>
  <w:footnote w:type="continuationSeparator" w:id="0">
    <w:p w:rsidR="003E0BAC" w:rsidRDefault="003E0B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D"/>
    <w:rsid w:val="00203AE1"/>
    <w:rsid w:val="003E0BAC"/>
    <w:rsid w:val="00A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0pt">
    <w:name w:val="Основной текст (2) + 8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1pt">
    <w:name w:val="Заголовок №2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98" w:lineRule="exact"/>
      <w:ind w:firstLine="10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ind w:firstLine="8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  <w:ind w:firstLine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0pt">
    <w:name w:val="Основной текст (2) + 8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1pt">
    <w:name w:val="Заголовок №2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98" w:lineRule="exact"/>
      <w:ind w:firstLine="10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ind w:firstLine="8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  <w:ind w:firstLine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71C4-0C13-4846-BC74-F6F05F13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8388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2020-04-07T13:15:00Z</dcterms:created>
  <dcterms:modified xsi:type="dcterms:W3CDTF">2020-04-07T13:23:00Z</dcterms:modified>
</cp:coreProperties>
</file>