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C0" w:rsidRDefault="00E531A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3376295</wp:posOffset>
                </wp:positionV>
                <wp:extent cx="5233670" cy="0"/>
                <wp:effectExtent l="15875" t="23495" r="17780" b="2413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2336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9pt;margin-top:265.85pt;width:412.1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" filled="t" strokeweight="2.4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3422015</wp:posOffset>
                </wp:positionV>
                <wp:extent cx="5233670" cy="0"/>
                <wp:effectExtent l="6350" t="12065" r="8255" b="698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2336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89pt;margin-top:269.45pt;width:412.1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B50CC0" w:rsidRDefault="00881A55">
      <w:pPr>
        <w:pStyle w:val="a5"/>
        <w:framePr w:w="5986" w:h="440" w:hRule="exact" w:wrap="none" w:vAnchor="page" w:hAnchor="page" w:x="4344" w:y="1831"/>
        <w:shd w:val="clear" w:color="auto" w:fill="auto"/>
        <w:spacing w:line="200" w:lineRule="exact"/>
      </w:pPr>
      <w:r>
        <w:t>Фріс П. Л. — Соціально-психологічні підстави криміналізації</w:t>
      </w:r>
    </w:p>
    <w:p w:rsidR="00B50CC0" w:rsidRDefault="00881A55">
      <w:pPr>
        <w:pStyle w:val="a5"/>
        <w:framePr w:w="5986" w:h="440" w:hRule="exact" w:wrap="none" w:vAnchor="page" w:hAnchor="page" w:x="4344" w:y="1831"/>
        <w:shd w:val="clear" w:color="auto" w:fill="auto"/>
        <w:spacing w:line="200" w:lineRule="exact"/>
      </w:pPr>
      <w:r>
        <w:t>суспільно-небезпечних ліянь</w:t>
      </w:r>
    </w:p>
    <w:p w:rsidR="00B50CC0" w:rsidRDefault="00E531A5">
      <w:pPr>
        <w:framePr w:wrap="none" w:vAnchor="page" w:hAnchor="page" w:x="1282" w:y="279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16965" cy="862330"/>
            <wp:effectExtent l="0" t="0" r="6985" b="0"/>
            <wp:docPr id="1" name="Рисунок 1" descr="C:\Users\DR29D9~1.PAU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29D9~1.PAU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C0" w:rsidRDefault="00881A55">
      <w:pPr>
        <w:pStyle w:val="10"/>
        <w:framePr w:w="9110" w:h="1507" w:hRule="exact" w:wrap="none" w:vAnchor="page" w:hAnchor="page" w:x="1224" w:y="2687"/>
        <w:shd w:val="clear" w:color="auto" w:fill="auto"/>
        <w:ind w:left="2347" w:right="158"/>
      </w:pPr>
      <w:bookmarkStart w:id="0" w:name="bookmark0"/>
      <w:r>
        <w:t>СОЦІАЛЬНО-ПСИХОЛОГІЧНІ ПІДСТАВИ</w:t>
      </w:r>
      <w:r>
        <w:br/>
      </w:r>
      <w:r>
        <w:t>КРИМІНАЛІЗАЦІЇ СУСПІЛЬНО-</w:t>
      </w:r>
      <w:r>
        <w:br/>
        <w:t>НЕБЕЗПЕЧНИХ ДІЯНЬ</w:t>
      </w:r>
      <w:bookmarkEnd w:id="0"/>
    </w:p>
    <w:p w:rsidR="00B50CC0" w:rsidRDefault="00881A55" w:rsidP="00E531A5">
      <w:pPr>
        <w:pStyle w:val="30"/>
        <w:framePr w:w="9110" w:h="826" w:hRule="exact" w:wrap="none" w:vAnchor="page" w:hAnchor="page" w:x="1224" w:y="4367"/>
        <w:shd w:val="clear" w:color="auto" w:fill="auto"/>
        <w:ind w:right="3264"/>
      </w:pPr>
      <w:r>
        <w:t>ФРІС Павло Львович — доктор</w:t>
      </w:r>
      <w:bookmarkStart w:id="1" w:name="bookmark1"/>
      <w:r w:rsidR="00E531A5">
        <w:t xml:space="preserve">        </w:t>
      </w:r>
      <w:r>
        <w:t>кафедри кримінального права та процесу</w:t>
      </w:r>
      <w:r w:rsidR="00E531A5">
        <w:t xml:space="preserve"> </w:t>
      </w:r>
      <w:r>
        <w:t>Прикарпатського національного університету</w:t>
      </w:r>
      <w:bookmarkEnd w:id="1"/>
    </w:p>
    <w:p w:rsidR="00B50CC0" w:rsidRDefault="00881A55">
      <w:pPr>
        <w:pStyle w:val="32"/>
        <w:framePr w:w="3235" w:h="850" w:hRule="exact" w:wrap="none" w:vAnchor="page" w:hAnchor="page" w:x="7128" w:y="4353"/>
        <w:shd w:val="clear" w:color="auto" w:fill="auto"/>
      </w:pPr>
      <w:r>
        <w:t>юридичних наук, професор Юридичного інституту ім. Василя Стефаника</w:t>
      </w:r>
    </w:p>
    <w:p w:rsidR="00E531A5" w:rsidRDefault="00E531A5">
      <w:pPr>
        <w:pStyle w:val="32"/>
        <w:framePr w:w="3235" w:h="850" w:hRule="exact" w:wrap="none" w:vAnchor="page" w:hAnchor="page" w:x="7128" w:y="4353"/>
        <w:shd w:val="clear" w:color="auto" w:fill="auto"/>
      </w:pPr>
    </w:p>
    <w:p w:rsidR="00B50CC0" w:rsidRDefault="00881A55">
      <w:pPr>
        <w:pStyle w:val="20"/>
        <w:framePr w:w="4483" w:h="9850" w:hRule="exact" w:wrap="none" w:vAnchor="page" w:hAnchor="page" w:x="1224" w:y="5557"/>
        <w:shd w:val="clear" w:color="auto" w:fill="auto"/>
        <w:ind w:firstLine="380"/>
      </w:pPr>
      <w:r>
        <w:t>Як справедливо зазначає С. І. Нікул</w:t>
      </w:r>
      <w:r>
        <w:t>ін, "Закон про кримінальну відповідальність повинен макси</w:t>
      </w:r>
      <w:r>
        <w:softHyphen/>
        <w:t>мально відповідати моральним устоям і уявлен</w:t>
      </w:r>
      <w:r>
        <w:softHyphen/>
        <w:t>ням суспільства, підкріплюючи їх фактом свого існування" [ 1, с. 19] При вирішенні питання про криміналізацію (декриміналізацію) слід врахову</w:t>
      </w:r>
      <w:r>
        <w:softHyphen/>
        <w:t>вати соціал</w:t>
      </w:r>
      <w:r>
        <w:t>ьно-правову психологію народу, рівень його правосвідомості. Даний критерій є чи не най</w:t>
      </w:r>
      <w:r>
        <w:softHyphen/>
        <w:t>складніший і, можливо, найменш враховується при вирішенні цих питань. Багаторічні дослідження свідчать, що найбільший рівень кореляції в оцінці необхідності встановлення</w:t>
      </w:r>
      <w:r>
        <w:t xml:space="preserve"> кримінальної відпові</w:t>
      </w:r>
      <w:r>
        <w:softHyphen/>
        <w:t>дальності спостерігається при посяганнях на осо</w:t>
      </w:r>
      <w:r>
        <w:softHyphen/>
        <w:t>бу, приватну власність, особисті права та ін. З відда</w:t>
      </w:r>
      <w:r>
        <w:softHyphen/>
        <w:t>ленням від особи рівень збігу оцінок суттєво змен</w:t>
      </w:r>
      <w:r>
        <w:softHyphen/>
        <w:t>шується. Існують і розбіжності в позиціях щодо оцінки діяння та особи, яка його вч</w:t>
      </w:r>
      <w:r>
        <w:t>инила. Так, як вказує М. А. Стручков, "громадяни часом схильні засуджувати злочин і в той самий час пожаліти того, хто вчинив цей злочин " [2, с. 40-41]. У зв'яз</w:t>
      </w:r>
      <w:r>
        <w:softHyphen/>
        <w:t>ку з цим слід повністю погодитися з точкою зору</w:t>
      </w:r>
    </w:p>
    <w:p w:rsidR="00B50CC0" w:rsidRDefault="00881A55">
      <w:pPr>
        <w:pStyle w:val="20"/>
        <w:framePr w:w="4483" w:h="9850" w:hRule="exact" w:wrap="none" w:vAnchor="page" w:hAnchor="page" w:x="1224" w:y="5557"/>
        <w:shd w:val="clear" w:color="auto" w:fill="auto"/>
        <w:tabs>
          <w:tab w:val="left" w:pos="255"/>
        </w:tabs>
      </w:pPr>
      <w:r>
        <w:t>І.</w:t>
      </w:r>
      <w:r>
        <w:tab/>
        <w:t>Є. Фарбера, який зазначає, що "при конструю</w:t>
      </w:r>
      <w:r>
        <w:softHyphen/>
        <w:t>ванні законодавчої норми слід знати, на збуджен</w:t>
      </w:r>
      <w:r>
        <w:softHyphen/>
        <w:t>ня чи масове розповсюдження яких саме право</w:t>
      </w:r>
      <w:r>
        <w:softHyphen/>
        <w:t>вих емоцій слід в першу чергу орієнтуватися" [З, с. 94].</w:t>
      </w:r>
    </w:p>
    <w:p w:rsidR="00B50CC0" w:rsidRDefault="00881A55">
      <w:pPr>
        <w:pStyle w:val="20"/>
        <w:framePr w:w="4483" w:h="9850" w:hRule="exact" w:wrap="none" w:vAnchor="page" w:hAnchor="page" w:x="1224" w:y="5557"/>
        <w:shd w:val="clear" w:color="auto" w:fill="auto"/>
        <w:ind w:firstLine="380"/>
      </w:pPr>
      <w:r>
        <w:t>"Кримінально-правова заборона виправдана лише тоді, коли суспільною психологією і право</w:t>
      </w:r>
      <w:r>
        <w:softHyphen/>
        <w:t xml:space="preserve">свідомістю </w:t>
      </w:r>
      <w:r w:rsidR="00E531A5">
        <w:t>т</w:t>
      </w:r>
      <w:r>
        <w:t>ой або</w:t>
      </w:r>
      <w:r>
        <w:t xml:space="preserve"> інший різновид поведінки, що відхиляється, сприймається як такий, що вимагає кримінально-правової караності",- вказує О. І. Ко- робєєв [4, с. 84]. Іншими словами, як зауважив К. Кенні, "діяння повинне значною мірою обурю</w:t>
      </w:r>
      <w:r>
        <w:softHyphen/>
        <w:t>вати звичні почуття суспільства, г</w:t>
      </w:r>
      <w:r>
        <w:t>ромадську дум</w:t>
      </w:r>
      <w:r>
        <w:softHyphen/>
        <w:t>ку" [5, с. ЗО].</w:t>
      </w:r>
    </w:p>
    <w:p w:rsidR="00B50CC0" w:rsidRDefault="00881A55">
      <w:pPr>
        <w:pStyle w:val="20"/>
        <w:framePr w:w="4483" w:h="9850" w:hRule="exact" w:wrap="none" w:vAnchor="page" w:hAnchor="page" w:x="1224" w:y="5557"/>
        <w:shd w:val="clear" w:color="auto" w:fill="auto"/>
        <w:ind w:firstLine="380"/>
      </w:pPr>
      <w:r>
        <w:t>Визнання діянь злочинними не видається мож</w:t>
      </w:r>
      <w:r>
        <w:softHyphen/>
        <w:t>ливим без урахування соціально-психологічних і історичних чинників, оскільки без відповідності цих процесів рівню розвитку суспільної свідомості і вимогам громадської думки норми крим</w:t>
      </w:r>
      <w:r>
        <w:t>інально</w:t>
      </w:r>
      <w:r>
        <w:softHyphen/>
        <w:t>го закону не діятимуть або, діючи тільки завдяки</w:t>
      </w:r>
    </w:p>
    <w:p w:rsidR="00B50CC0" w:rsidRDefault="00881A55">
      <w:pPr>
        <w:pStyle w:val="20"/>
        <w:framePr w:w="4469" w:h="9846" w:hRule="exact" w:wrap="none" w:vAnchor="page" w:hAnchor="page" w:x="5866" w:y="5504"/>
        <w:shd w:val="clear" w:color="auto" w:fill="auto"/>
      </w:pPr>
      <w:r>
        <w:t>державному примусу, не виконуватимуть свої функції. Для того, щоб норми кримінального за</w:t>
      </w:r>
      <w:r>
        <w:softHyphen/>
        <w:t>кону могли реально впливати на поведінку людей, вони повинні бути соціально-психологічно і тра</w:t>
      </w:r>
      <w:r>
        <w:softHyphen/>
        <w:t>диційно-історич</w:t>
      </w:r>
      <w:r>
        <w:t>но обґрунтовані. Будь-які норма</w:t>
      </w:r>
      <w:r>
        <w:softHyphen/>
        <w:t>тивні системи і уложення за</w:t>
      </w:r>
      <w:r w:rsidR="00E531A5">
        <w:t>ли</w:t>
      </w:r>
      <w:r>
        <w:t>шаться формальни</w:t>
      </w:r>
      <w:r>
        <w:softHyphen/>
        <w:t>ми актами, якщо не будуть використовуватися соціально-психологічні закономірності організації і регуляції поведінки людей і відносин між ними. На криміналізацію впливають найрізн</w:t>
      </w:r>
      <w:r>
        <w:t>оманітніші чинники: існуючі в суспільстві історичні, соціа</w:t>
      </w:r>
      <w:r w:rsidR="00E531A5">
        <w:t>л</w:t>
      </w:r>
      <w:r>
        <w:t>ьні і культурні умови, традиції вибору способу регу</w:t>
      </w:r>
      <w:r>
        <w:softHyphen/>
        <w:t>лювання певних суспільних відносин і багато іншо</w:t>
      </w:r>
      <w:r>
        <w:softHyphen/>
        <w:t>го, оскільки правове регулювання (у тому числі за допомогою криміналізації і декриміналізації ок</w:t>
      </w:r>
      <w:r>
        <w:softHyphen/>
        <w:t>ремих діянь) є наслідком дії різних суспільних явищ, в яких, природно, беруть участь чинники свідомості й ідеології.</w:t>
      </w:r>
    </w:p>
    <w:p w:rsidR="00B50CC0" w:rsidRDefault="00881A55">
      <w:pPr>
        <w:pStyle w:val="20"/>
        <w:framePr w:w="4469" w:h="9846" w:hRule="exact" w:wrap="none" w:vAnchor="page" w:hAnchor="page" w:x="5866" w:y="5504"/>
        <w:shd w:val="clear" w:color="auto" w:fill="auto"/>
        <w:ind w:firstLine="380"/>
      </w:pPr>
      <w:r>
        <w:t>Головний соці</w:t>
      </w:r>
      <w:r>
        <w:t>ально-псих</w:t>
      </w:r>
      <w:r w:rsidR="00E531A5">
        <w:t>о</w:t>
      </w:r>
      <w:r>
        <w:t>логічний чинник кри- міналізації полягає в</w:t>
      </w:r>
      <w:r w:rsidR="00E531A5">
        <w:t xml:space="preserve"> </w:t>
      </w:r>
      <w:r>
        <w:t>тому, що оголошення діян</w:t>
      </w:r>
      <w:r>
        <w:softHyphen/>
        <w:t xml:space="preserve">ня </w:t>
      </w:r>
      <w:r w:rsidR="00E531A5">
        <w:t>з</w:t>
      </w:r>
      <w:r>
        <w:t>лочинним повинне схва</w:t>
      </w:r>
      <w:r w:rsidR="00E531A5">
        <w:t>лю</w:t>
      </w:r>
      <w:r>
        <w:t>ватися</w:t>
      </w:r>
      <w:r w:rsidR="00E531A5">
        <w:t xml:space="preserve"> суспільством</w:t>
      </w:r>
      <w:r>
        <w:rPr>
          <w:rStyle w:val="285pt"/>
        </w:rPr>
        <w:t xml:space="preserve">. </w:t>
      </w:r>
      <w:r>
        <w:t>Криміналізація будь-якого діяння повинна бути "морально об</w:t>
      </w:r>
      <w:r w:rsidR="00E531A5">
        <w:rPr>
          <w:rFonts w:ascii="Times New Roman" w:hAnsi="Times New Roman" w:cs="Times New Roman"/>
        </w:rPr>
        <w:t>ґ</w:t>
      </w:r>
      <w:r>
        <w:t>р</w:t>
      </w:r>
      <w:r w:rsidR="00E531A5">
        <w:t>у</w:t>
      </w:r>
      <w:r>
        <w:t xml:space="preserve">нтована". тобто повинна </w:t>
      </w:r>
      <w:r w:rsidR="00E531A5">
        <w:t>одержа</w:t>
      </w:r>
      <w:r w:rsidR="00E531A5">
        <w:softHyphen/>
        <w:t>ти моральну підтримку більшості</w:t>
      </w:r>
      <w:r>
        <w:t xml:space="preserve"> членів суспіль</w:t>
      </w:r>
      <w:r>
        <w:softHyphen/>
        <w:t>ства у</w:t>
      </w:r>
      <w:r>
        <w:t xml:space="preserve"> зв'язку з негативною моральною оцінкою діяння, що криміна</w:t>
      </w:r>
      <w:r w:rsidR="00E531A5">
        <w:t>лі</w:t>
      </w:r>
      <w:r>
        <w:t>зується. При формуванні суспільна свідомість ви</w:t>
      </w:r>
      <w:r>
        <w:t>тримує дію цілого ряду випадкових факторів, (наприклад, вчинення тяж</w:t>
      </w:r>
      <w:r>
        <w:softHyphen/>
        <w:t>кого злочину, який суттєво збудив громадську дум</w:t>
      </w:r>
      <w:r>
        <w:softHyphen/>
        <w:t>ку). Внаслідок впливу таких чинників громадська думка не завжди адекватна суспі</w:t>
      </w:r>
      <w:r w:rsidR="00E531A5">
        <w:t>л</w:t>
      </w:r>
      <w:r>
        <w:t>ь</w:t>
      </w:r>
      <w:r w:rsidR="00E531A5">
        <w:t>ні</w:t>
      </w:r>
      <w:r>
        <w:t>й потребі. У зв'язку з цим цілком природною є вимога пр</w:t>
      </w:r>
      <w:r>
        <w:t>о по</w:t>
      </w:r>
      <w:r>
        <w:softHyphen/>
        <w:t>силення покарання за вчинений злоч</w:t>
      </w:r>
      <w:r w:rsidR="00E531A5">
        <w:t>ин</w:t>
      </w:r>
      <w:r>
        <w:t>. яка вихо</w:t>
      </w:r>
      <w:r>
        <w:softHyphen/>
        <w:t>дить від родичів потерпілого. Абсолютно логічним виглядає і зворотна вимога з боку близьких зло</w:t>
      </w:r>
      <w:r>
        <w:t>чинця.</w:t>
      </w:r>
    </w:p>
    <w:p w:rsidR="00B50CC0" w:rsidRDefault="00881A55">
      <w:pPr>
        <w:pStyle w:val="20"/>
        <w:framePr w:w="4469" w:h="9846" w:hRule="exact" w:wrap="none" w:vAnchor="page" w:hAnchor="page" w:x="5866" w:y="5504"/>
        <w:shd w:val="clear" w:color="auto" w:fill="auto"/>
        <w:ind w:firstLine="380"/>
      </w:pPr>
      <w:r>
        <w:t>Таким чином, в громадській думці існують як забобони, так і уявлення, що часто відображають об'єктивн</w:t>
      </w:r>
      <w:r>
        <w:t>і потреби і правильні тенденції дійсності. Воші здійснюють серйозний вплив на громадську думку в цілому і є істотною частиною суспільної</w:t>
      </w:r>
    </w:p>
    <w:p w:rsidR="00B50CC0" w:rsidRDefault="00881A55">
      <w:pPr>
        <w:pStyle w:val="22"/>
        <w:framePr w:wrap="none" w:vAnchor="page" w:hAnchor="page" w:x="5650" w:y="15614"/>
        <w:shd w:val="clear" w:color="auto" w:fill="auto"/>
        <w:spacing w:line="180" w:lineRule="exact"/>
      </w:pPr>
      <w:r>
        <w:t>59</w:t>
      </w:r>
    </w:p>
    <w:p w:rsidR="00B50CC0" w:rsidRDefault="00B50CC0">
      <w:pPr>
        <w:rPr>
          <w:sz w:val="2"/>
          <w:szCs w:val="2"/>
        </w:rPr>
        <w:sectPr w:rsidR="00B50C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0CC0" w:rsidRDefault="00881A55">
      <w:pPr>
        <w:pStyle w:val="40"/>
        <w:framePr w:w="4478" w:h="13191" w:hRule="exact" w:wrap="none" w:vAnchor="page" w:hAnchor="page" w:x="1822" w:y="1329"/>
        <w:shd w:val="clear" w:color="auto" w:fill="auto"/>
        <w:tabs>
          <w:tab w:val="left" w:leader="hyphen" w:pos="300"/>
          <w:tab w:val="left" w:leader="hyphen" w:pos="683"/>
          <w:tab w:val="left" w:leader="hyphen" w:pos="857"/>
        </w:tabs>
        <w:ind w:left="160"/>
      </w:pPr>
      <w:r>
        <w:rPr>
          <w:rStyle w:val="41"/>
          <w:b/>
          <w:bCs/>
        </w:rPr>
        <w:lastRenderedPageBreak/>
        <w:tab/>
      </w:r>
      <w:r>
        <w:rPr>
          <w:rStyle w:val="42"/>
          <w:b/>
          <w:bCs/>
        </w:rPr>
        <w:tab/>
      </w:r>
      <w:r>
        <w:rPr>
          <w:rStyle w:val="42"/>
          <w:b/>
          <w:bCs/>
        </w:rPr>
        <w:tab/>
      </w:r>
      <w:r>
        <w:rPr>
          <w:rStyle w:val="41"/>
          <w:b/>
          <w:bCs/>
        </w:rPr>
        <w:t xml:space="preserve">— </w:t>
      </w:r>
      <w:r>
        <w:rPr>
          <w:rStyle w:val="42"/>
          <w:b/>
          <w:bCs/>
        </w:rPr>
        <w:t>—</w:t>
      </w:r>
      <w:r>
        <w:t xml:space="preserve"> Кримінальне право </w:t>
      </w:r>
      <w:r>
        <w:rPr>
          <w:rStyle w:val="43"/>
          <w:b/>
          <w:bCs/>
        </w:rPr>
        <w:t>—</w:t>
      </w:r>
    </w:p>
    <w:p w:rsidR="00B50CC0" w:rsidRDefault="00881A55">
      <w:pPr>
        <w:pStyle w:val="20"/>
        <w:framePr w:w="4478" w:h="13191" w:hRule="exact" w:wrap="none" w:vAnchor="page" w:hAnchor="page" w:x="1822" w:y="1329"/>
        <w:shd w:val="clear" w:color="auto" w:fill="auto"/>
      </w:pPr>
      <w:r>
        <w:t>свідомості, яка не може бути відкинута в процесі законотворчості. В</w:t>
      </w:r>
      <w:r>
        <w:t xml:space="preserve"> іншому випадку можуть насту</w:t>
      </w:r>
      <w:r>
        <w:softHyphen/>
        <w:t>пити ті ж наслідки, що і при ігноруванні всіх уяв</w:t>
      </w:r>
      <w:r>
        <w:softHyphen/>
        <w:t>лень та ідей, що становлять громадську думку.</w:t>
      </w:r>
    </w:p>
    <w:p w:rsidR="00B50CC0" w:rsidRDefault="00881A55">
      <w:pPr>
        <w:pStyle w:val="20"/>
        <w:framePr w:w="4478" w:h="13191" w:hRule="exact" w:wrap="none" w:vAnchor="page" w:hAnchor="page" w:x="1822" w:y="1329"/>
        <w:shd w:val="clear" w:color="auto" w:fill="auto"/>
        <w:ind w:firstLine="380"/>
      </w:pPr>
      <w:r>
        <w:t>У деяких ситуаціях історичні традиції можуть служиш перешкодою для встановлення криміналь</w:t>
      </w:r>
      <w:r>
        <w:softHyphen/>
        <w:t>но-правової заборони, оскільки діяння, що</w:t>
      </w:r>
      <w:r>
        <w:t xml:space="preserve"> забо</w:t>
      </w:r>
      <w:r>
        <w:softHyphen/>
        <w:t>роняється, може традиційно-історично визнавати</w:t>
      </w:r>
      <w:r>
        <w:softHyphen/>
        <w:t>ся не тільки як правомірне, а й необхідне, у зв'яз</w:t>
      </w:r>
      <w:r>
        <w:softHyphen/>
        <w:t xml:space="preserve">ку з чим кримінально-правова новела може виявитися мертвонародженою. Перебуваючи під виливом історичних традицій, .людина вимушена вибирати між різними </w:t>
      </w:r>
      <w:r>
        <w:t>соціальними нормами, ос</w:t>
      </w:r>
      <w:r>
        <w:softHyphen/>
        <w:t>кільки моральній дії права протистоять моральні дії групи, страху перед юридичними санкціями - страх перед груповими санкціями, діапазон яких достатньо широкий - від втрати соціального стату</w:t>
      </w:r>
      <w:r>
        <w:softHyphen/>
        <w:t>су до економічного бойкоту, обмеження кон</w:t>
      </w:r>
      <w:r>
        <w:t>сти</w:t>
      </w:r>
      <w:r>
        <w:softHyphen/>
        <w:t>туційних прав і свобод, і навіть позбавлення жит</w:t>
      </w:r>
      <w:r>
        <w:softHyphen/>
        <w:t>тя (що мало місце в Україні до 2000 р.). Саме тому врахування со</w:t>
      </w:r>
      <w:r w:rsidR="00E531A5">
        <w:t>ціа</w:t>
      </w:r>
      <w:r>
        <w:t>льно-психологічних особливостей нації в питаннях розуміння злочинного і незлочин</w:t>
      </w:r>
      <w:r>
        <w:t>ного повинні враховуватися при вирішенні питан</w:t>
      </w:r>
      <w:r>
        <w:softHyphen/>
        <w:t>ня про к</w:t>
      </w:r>
      <w:r>
        <w:t>риміналі</w:t>
      </w:r>
      <w:r>
        <w:t>зацію того чи іншого виду пове</w:t>
      </w:r>
      <w:r>
        <w:softHyphen/>
        <w:t>дінки [6].</w:t>
      </w:r>
    </w:p>
    <w:p w:rsidR="00B50CC0" w:rsidRDefault="00881A55">
      <w:pPr>
        <w:pStyle w:val="20"/>
        <w:framePr w:w="4478" w:h="13191" w:hRule="exact" w:wrap="none" w:vAnchor="page" w:hAnchor="page" w:x="1822" w:y="1329"/>
        <w:shd w:val="clear" w:color="auto" w:fill="auto"/>
        <w:ind w:firstLine="380"/>
      </w:pPr>
      <w:r>
        <w:t>Норми моралі, як вид соціальних норм, є спе</w:t>
      </w:r>
      <w:r>
        <w:softHyphen/>
        <w:t>цифічним способом регуляції людської поведін</w:t>
      </w:r>
      <w:r>
        <w:softHyphen/>
        <w:t xml:space="preserve">ки. Проте, крім цього, кожна суспільно-історична система </w:t>
      </w:r>
      <w:r>
        <w:rPr>
          <w:rStyle w:val="295pt"/>
        </w:rPr>
        <w:t xml:space="preserve">існує </w:t>
      </w:r>
      <w:r>
        <w:t>як явище масової свідомості, сус</w:t>
      </w:r>
      <w:r>
        <w:softHyphen/>
        <w:t xml:space="preserve">пільної психології. </w:t>
      </w:r>
      <w:r>
        <w:t>Мораль, що розглядається в цій якості. містить певну' систему етичних цінностей, на які орієнтується особа. Таким чином, мораль здійснює регулятивну функцію.</w:t>
      </w:r>
    </w:p>
    <w:p w:rsidR="00B50CC0" w:rsidRDefault="00881A55">
      <w:pPr>
        <w:pStyle w:val="20"/>
        <w:framePr w:w="4478" w:h="13191" w:hRule="exact" w:wrap="none" w:vAnchor="page" w:hAnchor="page" w:x="1822" w:y="1329"/>
        <w:shd w:val="clear" w:color="auto" w:fill="auto"/>
        <w:ind w:firstLine="380"/>
      </w:pPr>
      <w:r>
        <w:t xml:space="preserve">Законодавець повинен прагнути того, щоб з боку громадської </w:t>
      </w:r>
      <w:r>
        <w:rPr>
          <w:rStyle w:val="295pt"/>
        </w:rPr>
        <w:t xml:space="preserve">думки </w:t>
      </w:r>
      <w:r>
        <w:t>застосування криміналь</w:t>
      </w:r>
      <w:r>
        <w:softHyphen/>
        <w:t xml:space="preserve">ного </w:t>
      </w:r>
      <w:r>
        <w:t>закону як способу регулювання поведінки в суспільстві оцінювалося як корисне. Така оцінка виникає, як правило, тоді, коли стає очевидним, що інші механізми соціального контролю не да</w:t>
      </w:r>
      <w:r>
        <w:softHyphen/>
        <w:t>ють необхідного результату.</w:t>
      </w:r>
    </w:p>
    <w:p w:rsidR="00B50CC0" w:rsidRDefault="00881A55">
      <w:pPr>
        <w:pStyle w:val="20"/>
        <w:framePr w:w="4478" w:h="13191" w:hRule="exact" w:wrap="none" w:vAnchor="page" w:hAnchor="page" w:x="1822" w:y="1329"/>
        <w:shd w:val="clear" w:color="auto" w:fill="auto"/>
        <w:ind w:firstLine="380"/>
      </w:pPr>
      <w:r>
        <w:t>Визнання суспільством необхідності застосу</w:t>
      </w:r>
      <w:r>
        <w:softHyphen/>
        <w:t>ва</w:t>
      </w:r>
      <w:r>
        <w:t>ти кримінально-правову заборону д</w:t>
      </w:r>
      <w:r w:rsidR="00E531A5">
        <w:t>ля</w:t>
      </w:r>
      <w:r>
        <w:t xml:space="preserve"> регулю</w:t>
      </w:r>
      <w:r>
        <w:softHyphen/>
        <w:t>вання</w:t>
      </w:r>
      <w:r w:rsidR="00E531A5">
        <w:t xml:space="preserve"> суспільних відносин виступає д</w:t>
      </w:r>
      <w:r>
        <w:t>ля законо</w:t>
      </w:r>
      <w:r>
        <w:softHyphen/>
        <w:t>давця головною соціально-психологічною підста</w:t>
      </w:r>
      <w:r>
        <w:softHyphen/>
        <w:t>вою кримі налі</w:t>
      </w:r>
      <w:r>
        <w:t>зації. З другого боку, в суспільній свідомості існують традиційні уявлення про межі втручання права в жи</w:t>
      </w:r>
      <w:r>
        <w:t>ття людей. Криміналізація не повинна руйнувати ці уявлення, оскільки відхід від даного принципу може призвести до неефек</w:t>
      </w:r>
      <w:r>
        <w:softHyphen/>
        <w:t>тивності кримінального закону не тільки як регу</w:t>
      </w:r>
      <w:r>
        <w:softHyphen/>
        <w:t>лятора суспільних відносин, а і як вихователя гро</w:t>
      </w:r>
      <w:r>
        <w:softHyphen/>
        <w:t>мадської думки.</w:t>
      </w:r>
    </w:p>
    <w:p w:rsidR="00B50CC0" w:rsidRDefault="00881A55">
      <w:pPr>
        <w:pStyle w:val="20"/>
        <w:framePr w:w="4478" w:h="13191" w:hRule="exact" w:wrap="none" w:vAnchor="page" w:hAnchor="page" w:x="1822" w:y="1329"/>
        <w:shd w:val="clear" w:color="auto" w:fill="auto"/>
        <w:ind w:firstLine="380"/>
      </w:pPr>
      <w:r>
        <w:t>Все це визначає важли</w:t>
      </w:r>
      <w:r>
        <w:t>вість вивчення існую</w:t>
      </w:r>
      <w:r>
        <w:softHyphen/>
        <w:t>чих в суспільстві уявлень про злочин і особу' зло</w:t>
      </w:r>
      <w:r w:rsidR="00E531A5">
        <w:t>-</w:t>
      </w:r>
      <w:r>
        <w:softHyphen/>
      </w:r>
    </w:p>
    <w:p w:rsidR="00B50CC0" w:rsidRDefault="00881A55">
      <w:pPr>
        <w:pStyle w:val="20"/>
        <w:framePr w:w="4483" w:h="12961" w:hRule="exact" w:wrap="none" w:vAnchor="page" w:hAnchor="page" w:x="6435" w:y="1555"/>
        <w:shd w:val="clear" w:color="auto" w:fill="auto"/>
      </w:pPr>
      <w:r>
        <w:t>чинця. Закон може впроваджувати нові уявлення у свідомість населення, але така діяльність вима</w:t>
      </w:r>
      <w:r>
        <w:softHyphen/>
        <w:t>гає великих витрат, зусиль і часу. Чи є потреба витрачати значні засоби для вивчення вказ</w:t>
      </w:r>
      <w:r>
        <w:t>аних явищ, якщо виходити з презумпції попередньої визначеності того, що визнається злочинним? Якщо підтримувати прихильників такої позиції, то втрачається значення вивчення суспільних уяв</w:t>
      </w:r>
      <w:r>
        <w:softHyphen/>
        <w:t>лень про добро і зло у кримінальному праві, ос</w:t>
      </w:r>
      <w:r>
        <w:softHyphen/>
        <w:t>кільки найбільш значу</w:t>
      </w:r>
      <w:r>
        <w:t>щі антисоціальні діяння відносять до категорії "вічних" злочинів, тобто в будь-якому суспільстві признаються суспільно не</w:t>
      </w:r>
      <w:r>
        <w:softHyphen/>
        <w:t>безпечними і кримінально протиправними. Слід визнати, що існує група діянь, які завжди, в будь- які часи і в будь-якому суспільстві, т</w:t>
      </w:r>
      <w:r>
        <w:t>ак або інак</w:t>
      </w:r>
      <w:r>
        <w:softHyphen/>
        <w:t>ше визнаються як злочинні через свою небезпеку для всіх (грабіж, вбивство тощо).</w:t>
      </w:r>
    </w:p>
    <w:p w:rsidR="00B50CC0" w:rsidRDefault="00881A55">
      <w:pPr>
        <w:pStyle w:val="20"/>
        <w:framePr w:w="4483" w:h="12961" w:hRule="exact" w:wrap="none" w:vAnchor="page" w:hAnchor="page" w:x="6435" w:y="1555"/>
        <w:shd w:val="clear" w:color="auto" w:fill="auto"/>
        <w:ind w:firstLine="400"/>
      </w:pPr>
      <w:r>
        <w:t>Незважаючи нате, що, за зауваженням фран</w:t>
      </w:r>
      <w:r>
        <w:softHyphen/>
        <w:t>цузького кримінолога Г. Тарда: "Система чеснот, так само як і система злочину і вади, міняється разом з ходом історії" [7,</w:t>
      </w:r>
      <w:r>
        <w:t xml:space="preserve"> с. 228], деякі дії завжди будуть розглядатися як злочинні. Звичайно, що де буде визнаватися таким, виходячи із правосвідо</w:t>
      </w:r>
      <w:r>
        <w:softHyphen/>
        <w:t>мості пануючого у суспільстві класу або соціаль</w:t>
      </w:r>
      <w:r>
        <w:softHyphen/>
        <w:t>ної групи, яка визначає обсяг злочинного у конк</w:t>
      </w:r>
      <w:r>
        <w:softHyphen/>
        <w:t>ретному суспільстві у конкретний час.</w:t>
      </w:r>
    </w:p>
    <w:p w:rsidR="00B50CC0" w:rsidRDefault="00881A55">
      <w:pPr>
        <w:pStyle w:val="20"/>
        <w:framePr w:w="4483" w:h="12961" w:hRule="exact" w:wrap="none" w:vAnchor="page" w:hAnchor="page" w:x="6435" w:y="1555"/>
        <w:shd w:val="clear" w:color="auto" w:fill="auto"/>
        <w:ind w:firstLine="400"/>
      </w:pPr>
      <w:r>
        <w:t>Таким чином, вивчення уявлень суспільства про злочинне є вкрай необхідним для обґрунтову</w:t>
      </w:r>
      <w:r>
        <w:softHyphen/>
        <w:t>вання кримінально-правової заборони конкретно</w:t>
      </w:r>
      <w:r>
        <w:softHyphen/>
        <w:t>го діяння з погляду обліку рівня суспільної право</w:t>
      </w:r>
      <w:r>
        <w:softHyphen/>
        <w:t>свідомості і соціальної психології, щоб уникнути конфлікту кримінально</w:t>
      </w:r>
      <w:r>
        <w:t>-правових і об'єктивних соціальних норм.</w:t>
      </w:r>
    </w:p>
    <w:p w:rsidR="00B50CC0" w:rsidRDefault="00881A55">
      <w:pPr>
        <w:pStyle w:val="20"/>
        <w:framePr w:w="4483" w:h="12961" w:hRule="exact" w:wrap="none" w:vAnchor="page" w:hAnchor="page" w:x="6435" w:y="1555"/>
        <w:shd w:val="clear" w:color="auto" w:fill="auto"/>
        <w:ind w:firstLine="400"/>
      </w:pPr>
      <w:r>
        <w:t>До соціально-психологічних підстав криміна</w:t>
      </w:r>
      <w:r>
        <w:softHyphen/>
        <w:t>лі зації можна певною мірою віднести відносну по</w:t>
      </w:r>
      <w:r>
        <w:softHyphen/>
        <w:t>ширеність і типовість діянь, що підлягають кримі- налізації. Криміналізація одиничних негативних вчинків безглузда, оскільк</w:t>
      </w:r>
      <w:r>
        <w:t>и не має регуляторного значення.</w:t>
      </w:r>
    </w:p>
    <w:p w:rsidR="00B50CC0" w:rsidRDefault="00881A55">
      <w:pPr>
        <w:pStyle w:val="20"/>
        <w:framePr w:w="4483" w:h="12961" w:hRule="exact" w:wrap="none" w:vAnchor="page" w:hAnchor="page" w:x="6435" w:y="1555"/>
        <w:shd w:val="clear" w:color="auto" w:fill="auto"/>
        <w:ind w:firstLine="400"/>
      </w:pPr>
      <w:r>
        <w:t>Проте, є і верхня межа для однорідних актів антисоціальної поведінки, що визначає можливість їх криміналізації, оскільки будь-яка спроба кримі- налізувати дуже поширені форми поведінки є дис- ф</w:t>
      </w:r>
      <w:r w:rsidR="00E531A5">
        <w:t>у</w:t>
      </w:r>
      <w:r>
        <w:t>нкціональною, оскільки резуль</w:t>
      </w:r>
      <w:r>
        <w:t>тат виходить за межі практичних можливостей кримінальної юс</w:t>
      </w:r>
      <w:r>
        <w:softHyphen/>
        <w:t xml:space="preserve">тиції. Це може призвести до фактичної </w:t>
      </w:r>
      <w:r w:rsidR="00E531A5">
        <w:t>безкараності</w:t>
      </w:r>
      <w:r>
        <w:t xml:space="preserve"> </w:t>
      </w:r>
      <w:r>
        <w:rPr>
          <w:rStyle w:val="2TimesNewRoman95pt"/>
          <w:rFonts w:eastAsia="Garamond"/>
        </w:rPr>
        <w:t>відповідного</w:t>
      </w:r>
      <w:r>
        <w:t xml:space="preserve"> кола кримі</w:t>
      </w:r>
      <w:r>
        <w:t>налі</w:t>
      </w:r>
      <w:r>
        <w:t>зованих діянь, що негативно впливає на рівень реалізації прин</w:t>
      </w:r>
      <w:r>
        <w:softHyphen/>
        <w:t>ципу невідворотності покаран</w:t>
      </w:r>
      <w:bookmarkStart w:id="2" w:name="_GoBack"/>
      <w:bookmarkEnd w:id="2"/>
      <w:r>
        <w:t>ня. При цьому може скла</w:t>
      </w:r>
      <w:r>
        <w:t>стися ситуація, коли значна кількість грома</w:t>
      </w:r>
      <w:r>
        <w:softHyphen/>
        <w:t>дян, які здійснюють поширені види забороненої поведінки, не попаде у категорію злочинців. Це не буде сприйнято суспільною правосвідомістю як справедливе, не буде сприяти підвищенню прести-</w:t>
      </w:r>
    </w:p>
    <w:p w:rsidR="00B50CC0" w:rsidRDefault="00881A55">
      <w:pPr>
        <w:pStyle w:val="34"/>
        <w:framePr w:wrap="none" w:vAnchor="page" w:hAnchor="page" w:x="2787" w:y="14739"/>
        <w:shd w:val="clear" w:color="auto" w:fill="auto"/>
        <w:spacing w:line="200" w:lineRule="exact"/>
      </w:pPr>
      <w:r>
        <w:t>- Наше право № 4, 2006</w:t>
      </w:r>
    </w:p>
    <w:p w:rsidR="00B50CC0" w:rsidRDefault="00881A55">
      <w:pPr>
        <w:pStyle w:val="22"/>
        <w:framePr w:wrap="none" w:vAnchor="page" w:hAnchor="page" w:x="6257" w:y="14808"/>
        <w:shd w:val="clear" w:color="auto" w:fill="auto"/>
        <w:spacing w:line="180" w:lineRule="exact"/>
      </w:pPr>
      <w:r>
        <w:t>60</w:t>
      </w:r>
    </w:p>
    <w:p w:rsidR="00B50CC0" w:rsidRDefault="00B50CC0">
      <w:pPr>
        <w:rPr>
          <w:sz w:val="2"/>
          <w:szCs w:val="2"/>
        </w:rPr>
        <w:sectPr w:rsidR="00B50C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0CC0" w:rsidRDefault="00E531A5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2672715</wp:posOffset>
                </wp:positionH>
                <wp:positionV relativeFrom="page">
                  <wp:posOffset>5099685</wp:posOffset>
                </wp:positionV>
                <wp:extent cx="1758950" cy="0"/>
                <wp:effectExtent l="5715" t="13335" r="6985" b="57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7589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10.45pt;margin-top:401.55pt;width:138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2672715</wp:posOffset>
                </wp:positionH>
                <wp:positionV relativeFrom="page">
                  <wp:posOffset>5145405</wp:posOffset>
                </wp:positionV>
                <wp:extent cx="1758950" cy="0"/>
                <wp:effectExtent l="15240" t="20955" r="16510" b="171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7589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10.45pt;margin-top:405.15pt;width:138.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" filled="t" strokeweight="2.4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B50CC0" w:rsidRDefault="00881A55">
      <w:pPr>
        <w:pStyle w:val="a5"/>
        <w:framePr w:w="6029" w:h="439" w:hRule="exact" w:wrap="none" w:vAnchor="page" w:hAnchor="page" w:x="4143" w:y="1838"/>
        <w:shd w:val="clear" w:color="auto" w:fill="auto"/>
        <w:spacing w:line="200" w:lineRule="exact"/>
      </w:pPr>
      <w:r>
        <w:t>Фріс П. Л.</w:t>
      </w:r>
      <w:r>
        <w:rPr>
          <w:rStyle w:val="4pt"/>
        </w:rPr>
        <w:t xml:space="preserve"> — </w:t>
      </w:r>
      <w:r>
        <w:t>Соціально-психологічні підстави криміна ліз а ції</w:t>
      </w:r>
    </w:p>
    <w:p w:rsidR="00B50CC0" w:rsidRDefault="00881A55">
      <w:pPr>
        <w:pStyle w:val="a5"/>
        <w:framePr w:w="6029" w:h="439" w:hRule="exact" w:wrap="none" w:vAnchor="page" w:hAnchor="page" w:x="4143" w:y="1838"/>
        <w:shd w:val="clear" w:color="auto" w:fill="auto"/>
        <w:spacing w:line="200" w:lineRule="exact"/>
      </w:pPr>
      <w:r>
        <w:t>суспільно-небезпечних діянь</w:t>
      </w:r>
    </w:p>
    <w:p w:rsidR="00B50CC0" w:rsidRDefault="00881A55">
      <w:pPr>
        <w:pStyle w:val="20"/>
        <w:framePr w:w="4464" w:h="3658" w:hRule="exact" w:wrap="none" w:vAnchor="page" w:hAnchor="page" w:x="1042" w:y="2397"/>
        <w:shd w:val="clear" w:color="auto" w:fill="auto"/>
      </w:pPr>
      <w:r>
        <w:t>жу кримінального закону. Крім того, оголошую</w:t>
      </w:r>
      <w:r>
        <w:softHyphen/>
        <w:t>чи широко поширені в суспільстві діяння злочин</w:t>
      </w:r>
      <w:r>
        <w:softHyphen/>
        <w:t xml:space="preserve">ними. законодавець тим самим переводить </w:t>
      </w:r>
      <w:r>
        <w:t>велике число його членів з числа законослухняних в роз</w:t>
      </w:r>
      <w:r>
        <w:softHyphen/>
        <w:t>ряд злочинців. При цьому при криміналізації вчи</w:t>
      </w:r>
      <w:r>
        <w:softHyphen/>
        <w:t>неного людиною діяння на нього накладається клей</w:t>
      </w:r>
      <w:r>
        <w:softHyphen/>
        <w:t>мо злочинця, що само собою вже є досить тяж</w:t>
      </w:r>
      <w:r>
        <w:softHyphen/>
        <w:t>ким покаранням, оскільки звичній людині важко усвідомити себ</w:t>
      </w:r>
      <w:r>
        <w:t>е злочинцем, тим більше що діян</w:t>
      </w:r>
      <w:r>
        <w:softHyphen/>
        <w:t>ня, оголошене злочином, може не оцінюватися ним як злочинне. Отже, при криміналізації поширено</w:t>
      </w:r>
      <w:r>
        <w:softHyphen/>
        <w:t>го діяння виникає ситуація, за якої значна частина членів суспільства переводиться в число злочинців, що може негативно позначити</w:t>
      </w:r>
      <w:r>
        <w:t>ся на криміногенній ситуації в країні.</w:t>
      </w:r>
    </w:p>
    <w:p w:rsidR="00B50CC0" w:rsidRDefault="00881A55">
      <w:pPr>
        <w:pStyle w:val="45"/>
        <w:framePr w:w="4478" w:h="4604" w:hRule="exact" w:wrap="none" w:vAnchor="page" w:hAnchor="page" w:x="5655" w:y="2391"/>
        <w:shd w:val="clear" w:color="auto" w:fill="auto"/>
        <w:ind w:left="1800"/>
      </w:pPr>
      <w:bookmarkStart w:id="3" w:name="bookmark2"/>
      <w:r>
        <w:t>Література</w:t>
      </w:r>
      <w:bookmarkEnd w:id="3"/>
    </w:p>
    <w:p w:rsidR="00B50CC0" w:rsidRDefault="00881A55">
      <w:pPr>
        <w:pStyle w:val="20"/>
        <w:framePr w:w="4478" w:h="4604" w:hRule="exact" w:wrap="none" w:vAnchor="page" w:hAnchor="page" w:x="5655" w:y="2391"/>
        <w:numPr>
          <w:ilvl w:val="0"/>
          <w:numId w:val="1"/>
        </w:numPr>
        <w:shd w:val="clear" w:color="auto" w:fill="auto"/>
        <w:tabs>
          <w:tab w:val="left" w:pos="630"/>
        </w:tabs>
        <w:ind w:firstLine="400"/>
      </w:pPr>
      <w:r>
        <w:t>Никулин С. И. Зтиконравствешгьій аспект совершенствования уголовного законодательства. /Современньїе тенденции развития уголовной по- литики и уголовного законодательства. М. 1994.</w:t>
      </w:r>
    </w:p>
    <w:p w:rsidR="00B50CC0" w:rsidRDefault="00881A55">
      <w:pPr>
        <w:pStyle w:val="20"/>
        <w:framePr w:w="4478" w:h="4604" w:hRule="exact" w:wrap="none" w:vAnchor="page" w:hAnchor="page" w:x="5655" w:y="2391"/>
        <w:numPr>
          <w:ilvl w:val="0"/>
          <w:numId w:val="1"/>
        </w:numPr>
        <w:shd w:val="clear" w:color="auto" w:fill="auto"/>
        <w:tabs>
          <w:tab w:val="left" w:pos="615"/>
        </w:tabs>
        <w:ind w:firstLine="400"/>
      </w:pPr>
      <w:r>
        <w:t xml:space="preserve">Стручков Н. А. Советская </w:t>
      </w:r>
      <w:r>
        <w:t>исправительно- трудовая политика и ее роль в борьбе с преступно- стью.- Саратов, 1970.</w:t>
      </w:r>
    </w:p>
    <w:p w:rsidR="00B50CC0" w:rsidRDefault="00881A55">
      <w:pPr>
        <w:pStyle w:val="20"/>
        <w:framePr w:w="4478" w:h="4604" w:hRule="exact" w:wrap="none" w:vAnchor="page" w:hAnchor="page" w:x="5655" w:y="2391"/>
        <w:numPr>
          <w:ilvl w:val="0"/>
          <w:numId w:val="1"/>
        </w:numPr>
        <w:shd w:val="clear" w:color="auto" w:fill="auto"/>
        <w:tabs>
          <w:tab w:val="left" w:pos="610"/>
        </w:tabs>
        <w:ind w:firstLine="400"/>
      </w:pPr>
      <w:r>
        <w:t>Фарбер И. Е. Правосознание как форма об- щественногосознания.-М., 1963.</w:t>
      </w:r>
    </w:p>
    <w:p w:rsidR="00B50CC0" w:rsidRDefault="00881A55">
      <w:pPr>
        <w:pStyle w:val="20"/>
        <w:framePr w:w="4478" w:h="4604" w:hRule="exact" w:wrap="none" w:vAnchor="page" w:hAnchor="page" w:x="5655" w:y="2391"/>
        <w:numPr>
          <w:ilvl w:val="0"/>
          <w:numId w:val="1"/>
        </w:numPr>
        <w:shd w:val="clear" w:color="auto" w:fill="auto"/>
        <w:tabs>
          <w:tab w:val="left" w:pos="615"/>
        </w:tabs>
        <w:ind w:firstLine="400"/>
      </w:pPr>
      <w:r>
        <w:t>Коробеев А. И., Усс А. В., Голик Ю. В. Уго- ловно-правовая политика: тенденции и перспекти- вьі,-</w:t>
      </w:r>
      <w:r>
        <w:t>Красноярск, 1991.</w:t>
      </w:r>
    </w:p>
    <w:p w:rsidR="00B50CC0" w:rsidRDefault="00881A55">
      <w:pPr>
        <w:pStyle w:val="20"/>
        <w:framePr w:w="4478" w:h="4604" w:hRule="exact" w:wrap="none" w:vAnchor="page" w:hAnchor="page" w:x="5655" w:y="2391"/>
        <w:numPr>
          <w:ilvl w:val="0"/>
          <w:numId w:val="1"/>
        </w:numPr>
        <w:shd w:val="clear" w:color="auto" w:fill="auto"/>
        <w:tabs>
          <w:tab w:val="left" w:pos="610"/>
        </w:tabs>
        <w:ind w:firstLine="400"/>
      </w:pPr>
      <w:r>
        <w:t>КенниК. Основьі уголовного права-М.: Изд- во ішостранной литературьі, 1949.</w:t>
      </w:r>
    </w:p>
    <w:p w:rsidR="00B50CC0" w:rsidRDefault="00881A55">
      <w:pPr>
        <w:pStyle w:val="20"/>
        <w:framePr w:w="4478" w:h="4604" w:hRule="exact" w:wrap="none" w:vAnchor="page" w:hAnchor="page" w:x="5655" w:y="2391"/>
        <w:numPr>
          <w:ilvl w:val="0"/>
          <w:numId w:val="1"/>
        </w:numPr>
        <w:shd w:val="clear" w:color="auto" w:fill="auto"/>
        <w:tabs>
          <w:tab w:val="left" w:pos="615"/>
        </w:tabs>
        <w:ind w:firstLine="400"/>
      </w:pPr>
      <w:r>
        <w:t>Костицький В. В. Проблеми смертної кари в Україні //Право України.- 1997,- № 3.</w:t>
      </w:r>
    </w:p>
    <w:p w:rsidR="00B50CC0" w:rsidRDefault="00881A55">
      <w:pPr>
        <w:pStyle w:val="20"/>
        <w:framePr w:w="4478" w:h="4604" w:hRule="exact" w:wrap="none" w:vAnchor="page" w:hAnchor="page" w:x="5655" w:y="2391"/>
        <w:numPr>
          <w:ilvl w:val="0"/>
          <w:numId w:val="1"/>
        </w:numPr>
        <w:shd w:val="clear" w:color="auto" w:fill="auto"/>
        <w:tabs>
          <w:tab w:val="left" w:pos="620"/>
        </w:tabs>
        <w:ind w:firstLine="400"/>
      </w:pPr>
      <w:r>
        <w:t>Тард Г. Преступник и преступление.- М.: Типогр. т-ва И. Д. Сьггина, 1906.</w:t>
      </w:r>
    </w:p>
    <w:p w:rsidR="00B50CC0" w:rsidRDefault="00881A55">
      <w:pPr>
        <w:pStyle w:val="24"/>
        <w:framePr w:w="9106" w:h="5542" w:hRule="exact" w:wrap="none" w:vAnchor="page" w:hAnchor="page" w:x="1037" w:y="9179"/>
        <w:shd w:val="clear" w:color="auto" w:fill="auto"/>
        <w:spacing w:after="130" w:line="300" w:lineRule="exact"/>
      </w:pPr>
      <w:bookmarkStart w:id="4" w:name="bookmark3"/>
      <w:r>
        <w:t>Запрошуємо до співпраці!</w:t>
      </w:r>
      <w:bookmarkEnd w:id="4"/>
    </w:p>
    <w:p w:rsidR="00B50CC0" w:rsidRDefault="00881A55">
      <w:pPr>
        <w:pStyle w:val="50"/>
        <w:framePr w:w="9106" w:h="5542" w:hRule="exact" w:wrap="none" w:vAnchor="page" w:hAnchor="page" w:x="1037" w:y="9179"/>
        <w:shd w:val="clear" w:color="auto" w:fill="auto"/>
        <w:spacing w:before="0"/>
      </w:pPr>
      <w:r>
        <w:t>З січня 2002 року у нашому вищому навчальному закладі засновано новий</w:t>
      </w:r>
      <w:r>
        <w:br/>
        <w:t>часопис "Вісник Київського міжнародного університету. Серія: Педагогічні</w:t>
      </w:r>
      <w:r>
        <w:br/>
        <w:t>науки" (далі "Вісник"). Вісник зареєстровано як фахове видання</w:t>
      </w:r>
      <w:r>
        <w:br/>
        <w:t>постановою Президії ВАК У</w:t>
      </w:r>
      <w:r>
        <w:t>країни № 4 - 05/7 від ЗО червня 2004 р.</w:t>
      </w:r>
    </w:p>
    <w:p w:rsidR="00B50CC0" w:rsidRDefault="00881A55">
      <w:pPr>
        <w:pStyle w:val="20"/>
        <w:framePr w:w="9106" w:h="5542" w:hRule="exact" w:wrap="none" w:vAnchor="page" w:hAnchor="page" w:x="1037" w:y="9179"/>
        <w:shd w:val="clear" w:color="auto" w:fill="auto"/>
        <w:spacing w:line="278" w:lineRule="exact"/>
        <w:ind w:firstLine="340"/>
      </w:pPr>
      <w:r>
        <w:rPr>
          <w:rStyle w:val="25"/>
        </w:rPr>
        <w:t xml:space="preserve">У </w:t>
      </w:r>
      <w:r>
        <w:t xml:space="preserve">"Віснику" публікуються матеріали теоретичних, історично-порівняльних, </w:t>
      </w:r>
      <w:r>
        <w:rPr>
          <w:rStyle w:val="25"/>
        </w:rPr>
        <w:t xml:space="preserve">експериментальних і </w:t>
      </w:r>
      <w:r>
        <w:t xml:space="preserve">прикладних досліджень: загальна педагогіка, історія педагогіки, порівняльна </w:t>
      </w:r>
      <w:r>
        <w:rPr>
          <w:rStyle w:val="25"/>
        </w:rPr>
        <w:t xml:space="preserve">педагзг.ка. педагогіка </w:t>
      </w:r>
      <w:r>
        <w:t>і менеджмент вищої школи,</w:t>
      </w:r>
      <w:r>
        <w:t xml:space="preserve"> теорія і методика професійної освіти, дидактика, </w:t>
      </w:r>
      <w:r>
        <w:rPr>
          <w:rStyle w:val="25"/>
        </w:rPr>
        <w:t xml:space="preserve">теорія і методики </w:t>
      </w:r>
      <w:r>
        <w:t>навчан</w:t>
      </w:r>
      <w:r>
        <w:softHyphen/>
        <w:t xml:space="preserve">ня (педагогічні, психологічні, лінгвістичні та інші гуманітарні намки). </w:t>
      </w:r>
      <w:r>
        <w:rPr>
          <w:rStyle w:val="25"/>
        </w:rPr>
        <w:t xml:space="preserve">теорія і методшха </w:t>
      </w:r>
      <w:r>
        <w:t xml:space="preserve">виховання студентської молоді, педагогіка тслядипломної освіта (андрагогіка’. </w:t>
      </w:r>
      <w:r>
        <w:rPr>
          <w:rStyle w:val="25"/>
        </w:rPr>
        <w:t xml:space="preserve">соді </w:t>
      </w:r>
      <w:r>
        <w:t xml:space="preserve">алька </w:t>
      </w:r>
      <w:r>
        <w:rPr>
          <w:rStyle w:val="211pt"/>
        </w:rPr>
        <w:t xml:space="preserve">педагогіка, </w:t>
      </w:r>
      <w:r>
        <w:t>дошкільна педагогіка та ін.</w:t>
      </w:r>
    </w:p>
    <w:p w:rsidR="00B50CC0" w:rsidRDefault="00881A55">
      <w:pPr>
        <w:pStyle w:val="60"/>
        <w:framePr w:w="9106" w:h="5542" w:hRule="exact" w:wrap="none" w:vAnchor="page" w:hAnchor="page" w:x="1037" w:y="9179"/>
        <w:shd w:val="clear" w:color="auto" w:fill="auto"/>
        <w:ind w:firstLine="340"/>
      </w:pPr>
      <w:r>
        <w:rPr>
          <w:rStyle w:val="610pt"/>
        </w:rPr>
        <w:t xml:space="preserve">Статті, що надсилаються до редакції "Вісника" мають відповідати </w:t>
      </w:r>
      <w:r>
        <w:t>вимогам ВАК України "Про підвищення вимог до фахових видань, внесених до переліків ВАК Украї</w:t>
      </w:r>
      <w:r>
        <w:softHyphen/>
        <w:t xml:space="preserve">ни" Постанова президії вищої атестаційної комісії України </w:t>
      </w:r>
      <w:r>
        <w:t>від 15.01.2003р. №7-05/1 (Бюлетень ВАК України, МІ, 2003, с.2).</w:t>
      </w:r>
    </w:p>
    <w:p w:rsidR="00B50CC0" w:rsidRDefault="00881A55">
      <w:pPr>
        <w:pStyle w:val="60"/>
        <w:framePr w:w="9106" w:h="5542" w:hRule="exact" w:wrap="none" w:vAnchor="page" w:hAnchor="page" w:x="1037" w:y="9179"/>
        <w:shd w:val="clear" w:color="auto" w:fill="auto"/>
        <w:ind w:firstLine="340"/>
      </w:pPr>
      <w:r>
        <w:t>Адреса редакції Наукового вісника Київського міжнародного університету: Україна, м. Київ - 03179, вул. Львівська, 49. корпус 2 Тел.: 424-90-20, 424-15-32 (*226) - відділ аспірантури, секція пе</w:t>
      </w:r>
      <w:r>
        <w:t>дагогічної майстерності.</w:t>
      </w:r>
    </w:p>
    <w:p w:rsidR="00B50CC0" w:rsidRDefault="00881A55">
      <w:pPr>
        <w:pStyle w:val="60"/>
        <w:framePr w:w="9106" w:h="5542" w:hRule="exact" w:wrap="none" w:vAnchor="page" w:hAnchor="page" w:x="1037" w:y="9179"/>
        <w:shd w:val="clear" w:color="auto" w:fill="auto"/>
        <w:jc w:val="right"/>
      </w:pPr>
      <w:r>
        <w:t>Редакційна колегія</w:t>
      </w:r>
    </w:p>
    <w:p w:rsidR="00B50CC0" w:rsidRDefault="00881A55">
      <w:pPr>
        <w:pStyle w:val="22"/>
        <w:framePr w:wrap="none" w:vAnchor="page" w:hAnchor="page" w:x="5472" w:y="15640"/>
        <w:shd w:val="clear" w:color="auto" w:fill="auto"/>
        <w:spacing w:line="180" w:lineRule="exact"/>
      </w:pPr>
      <w:r>
        <w:t>61</w:t>
      </w:r>
    </w:p>
    <w:p w:rsidR="00B50CC0" w:rsidRDefault="00B50CC0">
      <w:pPr>
        <w:rPr>
          <w:sz w:val="2"/>
          <w:szCs w:val="2"/>
        </w:rPr>
      </w:pPr>
    </w:p>
    <w:sectPr w:rsidR="00B50C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55" w:rsidRDefault="00881A55">
      <w:r>
        <w:separator/>
      </w:r>
    </w:p>
  </w:endnote>
  <w:endnote w:type="continuationSeparator" w:id="0">
    <w:p w:rsidR="00881A55" w:rsidRDefault="0088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55" w:rsidRDefault="00881A55"/>
  </w:footnote>
  <w:footnote w:type="continuationSeparator" w:id="0">
    <w:p w:rsidR="00881A55" w:rsidRDefault="00881A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C0720"/>
    <w:multiLevelType w:val="multilevel"/>
    <w:tmpl w:val="1EE00346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C0"/>
    <w:rsid w:val="00881A55"/>
    <w:rsid w:val="00B50CC0"/>
    <w:rsid w:val="00E5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Garamond" w:eastAsia="Garamond" w:hAnsi="Garamond" w:cs="Garamond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Garamond" w:eastAsia="Garamond" w:hAnsi="Garamond" w:cs="Garamond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Заголовок №3_"/>
    <w:basedOn w:val="a0"/>
    <w:link w:val="30"/>
    <w:rPr>
      <w:rFonts w:ascii="Garamond" w:eastAsia="Garamond" w:hAnsi="Garamond" w:cs="Garamond"/>
      <w:b/>
      <w:bCs/>
      <w:i/>
      <w:iCs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Garamond" w:eastAsia="Garamond" w:hAnsi="Garamond" w:cs="Garamond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5pt">
    <w:name w:val="Основной текст (2) + 8;5 pt;Малые прописные"/>
    <w:basedOn w:val="2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95pt">
    <w:name w:val="Основной текст (2) + 9;5 pt;Малые прописные"/>
    <w:basedOn w:val="2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TimesNewRoman95pt">
    <w:name w:val="Основной текст (2) + Times New Roman;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33">
    <w:name w:val="Колонтитул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pt">
    <w:name w:val="Колонтитул + 4 pt;Не полужирный;Не курсив"/>
    <w:basedOn w:val="a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44">
    <w:name w:val="Заголовок №4_"/>
    <w:basedOn w:val="a0"/>
    <w:link w:val="45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Garamond" w:eastAsia="Garamond" w:hAnsi="Garamond" w:cs="Garamond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1pt">
    <w:name w:val="Основной текст (2) + 11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0pt">
    <w:name w:val="Основной текст (6) + 10 pt;Не полужирный"/>
    <w:basedOn w:val="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b/>
      <w:bCs/>
      <w:i/>
      <w:i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0" w:lineRule="exact"/>
      <w:jc w:val="center"/>
      <w:outlineLvl w:val="0"/>
    </w:pPr>
    <w:rPr>
      <w:rFonts w:ascii="Garamond" w:eastAsia="Garamond" w:hAnsi="Garamond" w:cs="Garamond"/>
      <w:b/>
      <w:bCs/>
      <w:sz w:val="30"/>
      <w:szCs w:val="3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64" w:lineRule="exact"/>
      <w:ind w:firstLine="2200"/>
      <w:jc w:val="both"/>
      <w:outlineLvl w:val="2"/>
    </w:pPr>
    <w:rPr>
      <w:rFonts w:ascii="Garamond" w:eastAsia="Garamond" w:hAnsi="Garamond" w:cs="Garamond"/>
      <w:b/>
      <w:bCs/>
      <w:i/>
      <w:i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Garamond" w:eastAsia="Garamond" w:hAnsi="Garamond" w:cs="Garamond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5" w:lineRule="exact"/>
      <w:jc w:val="both"/>
    </w:pPr>
    <w:rPr>
      <w:rFonts w:ascii="Garamond" w:eastAsia="Garamond" w:hAnsi="Garamond" w:cs="Garamond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line="235" w:lineRule="exact"/>
      <w:outlineLvl w:val="3"/>
    </w:pPr>
    <w:rPr>
      <w:rFonts w:ascii="Garamond" w:eastAsia="Garamond" w:hAnsi="Garamond" w:cs="Garamond"/>
      <w:i/>
      <w:i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40" w:line="0" w:lineRule="atLeast"/>
      <w:jc w:val="center"/>
      <w:outlineLvl w:val="1"/>
    </w:pPr>
    <w:rPr>
      <w:rFonts w:ascii="Garamond" w:eastAsia="Garamond" w:hAnsi="Garamond" w:cs="Garamond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8" w:lineRule="exact"/>
      <w:jc w:val="center"/>
    </w:pPr>
    <w:rPr>
      <w:rFonts w:ascii="Garamond" w:eastAsia="Garamond" w:hAnsi="Garamond" w:cs="Garamond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  <w:jc w:val="both"/>
    </w:pPr>
    <w:rPr>
      <w:rFonts w:ascii="Garamond" w:eastAsia="Garamond" w:hAnsi="Garamond" w:cs="Garamond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Garamond" w:eastAsia="Garamond" w:hAnsi="Garamond" w:cs="Garamond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Garamond" w:eastAsia="Garamond" w:hAnsi="Garamond" w:cs="Garamond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Заголовок №3_"/>
    <w:basedOn w:val="a0"/>
    <w:link w:val="30"/>
    <w:rPr>
      <w:rFonts w:ascii="Garamond" w:eastAsia="Garamond" w:hAnsi="Garamond" w:cs="Garamond"/>
      <w:b/>
      <w:bCs/>
      <w:i/>
      <w:iCs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Garamond" w:eastAsia="Garamond" w:hAnsi="Garamond" w:cs="Garamond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5pt">
    <w:name w:val="Основной текст (2) + 8;5 pt;Малые прописные"/>
    <w:basedOn w:val="2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95pt">
    <w:name w:val="Основной текст (2) + 9;5 pt;Малые прописные"/>
    <w:basedOn w:val="2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TimesNewRoman95pt">
    <w:name w:val="Основной текст (2) + Times New Roman;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33">
    <w:name w:val="Колонтитул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pt">
    <w:name w:val="Колонтитул + 4 pt;Не полужирный;Не курсив"/>
    <w:basedOn w:val="a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44">
    <w:name w:val="Заголовок №4_"/>
    <w:basedOn w:val="a0"/>
    <w:link w:val="45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Garamond" w:eastAsia="Garamond" w:hAnsi="Garamond" w:cs="Garamond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1pt">
    <w:name w:val="Основной текст (2) + 11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0pt">
    <w:name w:val="Основной текст (6) + 10 pt;Не полужирный"/>
    <w:basedOn w:val="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b/>
      <w:bCs/>
      <w:i/>
      <w:i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0" w:lineRule="exact"/>
      <w:jc w:val="center"/>
      <w:outlineLvl w:val="0"/>
    </w:pPr>
    <w:rPr>
      <w:rFonts w:ascii="Garamond" w:eastAsia="Garamond" w:hAnsi="Garamond" w:cs="Garamond"/>
      <w:b/>
      <w:bCs/>
      <w:sz w:val="30"/>
      <w:szCs w:val="3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64" w:lineRule="exact"/>
      <w:ind w:firstLine="2200"/>
      <w:jc w:val="both"/>
      <w:outlineLvl w:val="2"/>
    </w:pPr>
    <w:rPr>
      <w:rFonts w:ascii="Garamond" w:eastAsia="Garamond" w:hAnsi="Garamond" w:cs="Garamond"/>
      <w:b/>
      <w:bCs/>
      <w:i/>
      <w:i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Garamond" w:eastAsia="Garamond" w:hAnsi="Garamond" w:cs="Garamond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5" w:lineRule="exact"/>
      <w:jc w:val="both"/>
    </w:pPr>
    <w:rPr>
      <w:rFonts w:ascii="Garamond" w:eastAsia="Garamond" w:hAnsi="Garamond" w:cs="Garamond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line="235" w:lineRule="exact"/>
      <w:outlineLvl w:val="3"/>
    </w:pPr>
    <w:rPr>
      <w:rFonts w:ascii="Garamond" w:eastAsia="Garamond" w:hAnsi="Garamond" w:cs="Garamond"/>
      <w:i/>
      <w:i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40" w:line="0" w:lineRule="atLeast"/>
      <w:jc w:val="center"/>
      <w:outlineLvl w:val="1"/>
    </w:pPr>
    <w:rPr>
      <w:rFonts w:ascii="Garamond" w:eastAsia="Garamond" w:hAnsi="Garamond" w:cs="Garamond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8" w:lineRule="exact"/>
      <w:jc w:val="center"/>
    </w:pPr>
    <w:rPr>
      <w:rFonts w:ascii="Garamond" w:eastAsia="Garamond" w:hAnsi="Garamond" w:cs="Garamond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  <w:jc w:val="both"/>
    </w:pPr>
    <w:rPr>
      <w:rFonts w:ascii="Garamond" w:eastAsia="Garamond" w:hAnsi="Garamond" w:cs="Garamond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C3C6-A0E1-4E36-9CA9-B91E4FE6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7568</Words>
  <Characters>4314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1</cp:revision>
  <dcterms:created xsi:type="dcterms:W3CDTF">2020-04-05T12:48:00Z</dcterms:created>
  <dcterms:modified xsi:type="dcterms:W3CDTF">2020-04-05T12:57:00Z</dcterms:modified>
</cp:coreProperties>
</file>