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7" w:rsidRDefault="00DF56D4">
      <w:pPr>
        <w:pStyle w:val="a5"/>
        <w:framePr w:wrap="none" w:vAnchor="page" w:hAnchor="page" w:x="4637" w:y="2285"/>
        <w:shd w:val="clear" w:color="auto" w:fill="auto"/>
        <w:spacing w:line="140" w:lineRule="exact"/>
      </w:pPr>
      <w:r>
        <w:t>Інститут обмеження сфери дії законодавства про кримінальну відповідальність</w:t>
      </w:r>
    </w:p>
    <w:p w:rsidR="00537CE7" w:rsidRDefault="00537CE7">
      <w:pPr>
        <w:pStyle w:val="40"/>
        <w:framePr w:w="7915" w:h="5172" w:hRule="exact" w:wrap="none" w:vAnchor="page" w:hAnchor="page" w:x="1695" w:y="2625"/>
        <w:shd w:val="clear" w:color="auto" w:fill="auto"/>
        <w:spacing w:line="160" w:lineRule="exact"/>
        <w:jc w:val="left"/>
      </w:pPr>
    </w:p>
    <w:p w:rsidR="00537CE7" w:rsidRDefault="00DF56D4">
      <w:pPr>
        <w:pStyle w:val="10"/>
        <w:framePr w:w="7915" w:h="768" w:hRule="exact" w:wrap="none" w:vAnchor="page" w:hAnchor="page" w:x="1695" w:y="8320"/>
        <w:shd w:val="clear" w:color="auto" w:fill="auto"/>
        <w:spacing w:before="0" w:after="0"/>
      </w:pPr>
      <w:bookmarkStart w:id="0" w:name="bookmark0"/>
      <w:r>
        <w:t xml:space="preserve">Інститут обмеження </w:t>
      </w:r>
      <w:r>
        <w:t>сфери дії законодавства про кримі</w:t>
      </w:r>
      <w:r>
        <w:softHyphen/>
        <w:t>нальну відповідальність</w:t>
      </w:r>
      <w:bookmarkEnd w:id="0"/>
    </w:p>
    <w:p w:rsidR="00537CE7" w:rsidRDefault="00DF56D4">
      <w:pPr>
        <w:pStyle w:val="20"/>
        <w:framePr w:w="7915" w:h="827" w:hRule="exact" w:wrap="none" w:vAnchor="page" w:hAnchor="page" w:x="1695" w:y="9587"/>
        <w:shd w:val="clear" w:color="auto" w:fill="auto"/>
        <w:spacing w:before="0" w:after="45" w:line="210" w:lineRule="exact"/>
      </w:pPr>
      <w:bookmarkStart w:id="1" w:name="bookmark1"/>
      <w:r>
        <w:t>П.ФРІС</w:t>
      </w:r>
      <w:bookmarkEnd w:id="1"/>
    </w:p>
    <w:p w:rsidR="00537CE7" w:rsidRDefault="00DF56D4">
      <w:pPr>
        <w:pStyle w:val="20"/>
        <w:framePr w:w="7915" w:h="827" w:hRule="exact" w:wrap="none" w:vAnchor="page" w:hAnchor="page" w:x="1695" w:y="9587"/>
        <w:shd w:val="clear" w:color="auto" w:fill="auto"/>
        <w:spacing w:before="0" w:after="0" w:line="245" w:lineRule="exact"/>
      </w:pPr>
      <w:bookmarkStart w:id="2" w:name="bookmark2"/>
      <w:r>
        <w:t xml:space="preserve">професор кафедри кримінального права та кримінології Прикарпатського юридичного інституту </w:t>
      </w:r>
      <w:proofErr w:type="spellStart"/>
      <w:r>
        <w:t>ЛьвДУВС</w:t>
      </w:r>
      <w:proofErr w:type="spellEnd"/>
      <w:r>
        <w:t>, доктор юридичних наук</w:t>
      </w:r>
      <w:bookmarkEnd w:id="2"/>
    </w:p>
    <w:p w:rsidR="00537CE7" w:rsidRDefault="00DF56D4">
      <w:pPr>
        <w:pStyle w:val="50"/>
        <w:framePr w:h="404" w:wrap="around" w:vAnchor="page" w:hAnchor="page" w:x="1750" w:y="10610"/>
        <w:shd w:val="clear" w:color="auto" w:fill="auto"/>
        <w:spacing w:line="336" w:lineRule="exact"/>
      </w:pPr>
      <w:r>
        <w:rPr>
          <w:position w:val="-10"/>
          <w:sz w:val="48"/>
          <w:szCs w:val="48"/>
        </w:rPr>
        <w:t>К</w:t>
      </w:r>
    </w:p>
    <w:p w:rsidR="00537CE7" w:rsidRDefault="00DF56D4" w:rsidP="00E06942">
      <w:pPr>
        <w:pStyle w:val="50"/>
        <w:framePr w:w="3864" w:h="4447" w:hRule="exact" w:wrap="none" w:vAnchor="page" w:hAnchor="page" w:x="1695" w:y="10562"/>
        <w:shd w:val="clear" w:color="auto" w:fill="auto"/>
        <w:ind w:left="393"/>
        <w:jc w:val="left"/>
      </w:pPr>
      <w:proofErr w:type="spellStart"/>
      <w:r>
        <w:t>римінальне</w:t>
      </w:r>
      <w:proofErr w:type="spellEnd"/>
      <w:r>
        <w:t xml:space="preserve"> законодавство визначає основ-</w:t>
      </w:r>
      <w:r>
        <w:br/>
        <w:t>ні параметри застосування с</w:t>
      </w:r>
      <w:r>
        <w:t>воїх норм та</w:t>
      </w:r>
    </w:p>
    <w:p w:rsidR="00537CE7" w:rsidRDefault="00DF56D4" w:rsidP="00E06942">
      <w:pPr>
        <w:pStyle w:val="50"/>
        <w:framePr w:w="3864" w:h="4447" w:hRule="exact" w:wrap="none" w:vAnchor="page" w:hAnchor="page" w:x="1695" w:y="10562"/>
        <w:shd w:val="clear" w:color="auto" w:fill="auto"/>
        <w:jc w:val="left"/>
      </w:pPr>
      <w:r>
        <w:t>інститутів, обмежуючи, як правило, сферу</w:t>
      </w:r>
      <w:r>
        <w:br/>
        <w:t>власного застосування лише часом, простором</w:t>
      </w:r>
      <w:r>
        <w:br/>
        <w:t>та колом осіб. Однак у ряді випадків сфера</w:t>
      </w:r>
      <w:r>
        <w:br/>
        <w:t xml:space="preserve">застосування закону про кримінальну </w:t>
      </w:r>
      <w:proofErr w:type="spellStart"/>
      <w:r>
        <w:t>відпові</w:t>
      </w:r>
      <w:proofErr w:type="spellEnd"/>
      <w:r>
        <w:t>-</w:t>
      </w:r>
      <w:r>
        <w:br/>
        <w:t xml:space="preserve">дальність обмежується </w:t>
      </w:r>
      <w:r w:rsidR="00E06942" w:rsidRPr="00E06942">
        <w:t>щ</w:t>
      </w:r>
      <w:r>
        <w:t>е більше виходячи</w:t>
      </w:r>
      <w:r>
        <w:br/>
        <w:t>насамперед з гуманістичних мі</w:t>
      </w:r>
      <w:r>
        <w:t xml:space="preserve">ркувань. </w:t>
      </w:r>
      <w:proofErr w:type="spellStart"/>
      <w:r>
        <w:t>Сукуп</w:t>
      </w:r>
      <w:proofErr w:type="spellEnd"/>
      <w:r>
        <w:t>-</w:t>
      </w:r>
      <w:r>
        <w:br/>
      </w:r>
      <w:proofErr w:type="spellStart"/>
      <w:r>
        <w:t>ність</w:t>
      </w:r>
      <w:proofErr w:type="spellEnd"/>
      <w:r>
        <w:t xml:space="preserve"> цих обмежень утворює самостійний</w:t>
      </w:r>
      <w:r>
        <w:br/>
        <w:t>інститут кримінального права, який може бути</w:t>
      </w:r>
      <w:r>
        <w:br/>
        <w:t xml:space="preserve">визначений як інститут обмеження дії </w:t>
      </w:r>
      <w:proofErr w:type="spellStart"/>
      <w:r>
        <w:t>законо</w:t>
      </w:r>
      <w:proofErr w:type="spellEnd"/>
      <w:r>
        <w:t>-</w:t>
      </w:r>
      <w:r>
        <w:br/>
      </w:r>
      <w:proofErr w:type="spellStart"/>
      <w:r>
        <w:t>давства</w:t>
      </w:r>
      <w:proofErr w:type="spellEnd"/>
      <w:r>
        <w:t xml:space="preserve"> про кримінальну відповідальність. Цей</w:t>
      </w:r>
      <w:r>
        <w:br/>
        <w:t>інститут об’єднує як ряд норм Особливої</w:t>
      </w:r>
      <w:r>
        <w:br/>
        <w:t>частини, так і деякі норм</w:t>
      </w:r>
      <w:r>
        <w:t>и Загальної частини</w:t>
      </w:r>
      <w:r>
        <w:br/>
        <w:t>КК України.</w:t>
      </w:r>
    </w:p>
    <w:p w:rsidR="00537CE7" w:rsidRDefault="00DF56D4" w:rsidP="00E06942">
      <w:pPr>
        <w:pStyle w:val="22"/>
        <w:framePr w:w="3864" w:h="4447" w:hRule="exact" w:wrap="none" w:vAnchor="page" w:hAnchor="page" w:x="1695" w:y="10562"/>
        <w:shd w:val="clear" w:color="auto" w:fill="auto"/>
        <w:spacing w:after="89"/>
        <w:ind w:firstLine="360"/>
        <w:jc w:val="left"/>
      </w:pPr>
      <w:r>
        <w:t>Основна ідея, яка закладена у цей інститут, пов’язана з тим, що кримінальний закон своїми нормами сам обмежує можливість власного застосування, сферу власної реалізації. Існуючі</w:t>
      </w:r>
    </w:p>
    <w:p w:rsidR="00537CE7" w:rsidRPr="00E06942" w:rsidRDefault="00DF56D4" w:rsidP="00E06942">
      <w:pPr>
        <w:pStyle w:val="22"/>
        <w:framePr w:w="3864" w:h="4447" w:hRule="exact" w:wrap="none" w:vAnchor="page" w:hAnchor="page" w:x="1695" w:y="10562"/>
        <w:shd w:val="clear" w:color="auto" w:fill="auto"/>
        <w:spacing w:after="0" w:line="180" w:lineRule="exact"/>
        <w:jc w:val="left"/>
        <w:rPr>
          <w:lang w:val="ru-RU"/>
        </w:rPr>
      </w:pPr>
      <w:r>
        <w:t xml:space="preserve">© </w:t>
      </w:r>
      <w:proofErr w:type="spellStart"/>
      <w:r>
        <w:t>П.Фріс</w:t>
      </w:r>
      <w:proofErr w:type="spellEnd"/>
      <w:r>
        <w:t>, 2007</w:t>
      </w:r>
    </w:p>
    <w:p w:rsidR="00537CE7" w:rsidRDefault="00DF56D4">
      <w:pPr>
        <w:pStyle w:val="24"/>
        <w:framePr w:w="3864" w:h="157" w:hRule="exact" w:wrap="none" w:vAnchor="page" w:hAnchor="page" w:x="1695" w:y="15175"/>
        <w:shd w:val="clear" w:color="auto" w:fill="auto"/>
        <w:spacing w:line="110" w:lineRule="exact"/>
      </w:pPr>
      <w:r>
        <w:t xml:space="preserve">155Ц 0132-1331. ПРАВО УКРАЇНИ, </w:t>
      </w:r>
      <w:r>
        <w:t>2007, № 11</w:t>
      </w:r>
    </w:p>
    <w:p w:rsidR="00537CE7" w:rsidRDefault="00DF56D4">
      <w:pPr>
        <w:pStyle w:val="22"/>
        <w:framePr w:w="3869" w:h="4162" w:hRule="exact" w:wrap="none" w:vAnchor="page" w:hAnchor="page" w:x="5736" w:y="10566"/>
        <w:shd w:val="clear" w:color="auto" w:fill="auto"/>
        <w:spacing w:after="0"/>
      </w:pPr>
      <w:r>
        <w:t>загальні принципи та умови застосування у відповідних, визначених самим же криміналь</w:t>
      </w:r>
      <w:r>
        <w:softHyphen/>
        <w:t>ним законом випадках “звужуються” і конкрет</w:t>
      </w:r>
      <w:r>
        <w:softHyphen/>
        <w:t>ні випадки не підпадають під його дію.</w:t>
      </w:r>
    </w:p>
    <w:p w:rsidR="00537CE7" w:rsidRDefault="00DF56D4">
      <w:pPr>
        <w:pStyle w:val="22"/>
        <w:framePr w:w="3869" w:h="4162" w:hRule="exact" w:wrap="none" w:vAnchor="page" w:hAnchor="page" w:x="5736" w:y="10566"/>
        <w:shd w:val="clear" w:color="auto" w:fill="auto"/>
        <w:spacing w:after="0"/>
        <w:ind w:firstLine="380"/>
      </w:pPr>
      <w:r>
        <w:t>Нове кримінальне законодавство повного мірою відображає основоположні принцип</w:t>
      </w:r>
      <w:r>
        <w:t>и притягнення до кримінальної відповідальності, закладені в Основному Законі.</w:t>
      </w:r>
    </w:p>
    <w:p w:rsidR="00537CE7" w:rsidRDefault="00DF56D4">
      <w:pPr>
        <w:pStyle w:val="22"/>
        <w:framePr w:w="3869" w:h="4162" w:hRule="exact" w:wrap="none" w:vAnchor="page" w:hAnchor="page" w:x="5736" w:y="10566"/>
        <w:shd w:val="clear" w:color="auto" w:fill="auto"/>
        <w:spacing w:after="0"/>
        <w:ind w:firstLine="380"/>
      </w:pPr>
      <w:r>
        <w:t xml:space="preserve">Конституція України </w:t>
      </w:r>
      <w:proofErr w:type="spellStart"/>
      <w:r>
        <w:t>грунтується</w:t>
      </w:r>
      <w:proofErr w:type="spellEnd"/>
      <w:r>
        <w:t xml:space="preserve"> на загальновизнаних принципах у галузі дотри</w:t>
      </w:r>
      <w:r>
        <w:softHyphen/>
        <w:t>мання прав людини, що знайшли закріплення в низці міжнародно-правових актів, ратифікова</w:t>
      </w:r>
      <w:r>
        <w:softHyphen/>
        <w:t>них Україною,</w:t>
      </w:r>
      <w:r>
        <w:t xml:space="preserve"> </w:t>
      </w:r>
      <w:proofErr w:type="spellStart"/>
      <w:r>
        <w:t>імплементованих</w:t>
      </w:r>
      <w:proofErr w:type="spellEnd"/>
      <w:r>
        <w:t xml:space="preserve"> у національні: законодавство. До цих актів насамперед нале</w:t>
      </w:r>
      <w:r>
        <w:softHyphen/>
        <w:t xml:space="preserve">жать Протокол № 4 до Конвенції </w:t>
      </w:r>
      <w:r w:rsidR="00E06942">
        <w:rPr>
          <w:lang w:val="ru-RU"/>
        </w:rPr>
        <w:t xml:space="preserve">про </w:t>
      </w:r>
      <w:proofErr w:type="spellStart"/>
      <w:r w:rsidR="00E06942">
        <w:rPr>
          <w:lang w:val="ru-RU"/>
        </w:rPr>
        <w:t>захист</w:t>
      </w:r>
      <w:proofErr w:type="spellEnd"/>
      <w:r>
        <w:t xml:space="preserve"> </w:t>
      </w:r>
      <w:r>
        <w:t>прав і основних свобод людини в</w:t>
      </w:r>
      <w:r w:rsidR="00E06942">
        <w:t>і</w:t>
      </w:r>
      <w:r>
        <w:t>д 4 л</w:t>
      </w:r>
      <w:r w:rsidR="00E06942">
        <w:t>истопада</w:t>
      </w:r>
    </w:p>
    <w:p w:rsidR="00537CE7" w:rsidRDefault="00DF56D4">
      <w:pPr>
        <w:pStyle w:val="22"/>
        <w:framePr w:w="3869" w:h="4162" w:hRule="exact" w:wrap="none" w:vAnchor="page" w:hAnchor="page" w:x="5736" w:y="10566"/>
        <w:shd w:val="clear" w:color="auto" w:fill="auto"/>
        <w:spacing w:after="0"/>
      </w:pPr>
      <w:r>
        <w:t>1950 р., ратифікований Україно</w:t>
      </w:r>
      <w:r w:rsidR="00E06942">
        <w:t>ю 17 липня</w:t>
      </w:r>
      <w:r>
        <w:t xml:space="preserve"> </w:t>
      </w:r>
      <w:r w:rsidRPr="00E06942">
        <w:rPr>
          <w:rStyle w:val="295pt"/>
          <w:b w:val="0"/>
        </w:rPr>
        <w:t>1977</w:t>
      </w:r>
      <w:r>
        <w:rPr>
          <w:rStyle w:val="295pt0"/>
        </w:rPr>
        <w:t xml:space="preserve"> </w:t>
      </w:r>
      <w:r>
        <w:t xml:space="preserve">р., та Загальна декларація </w:t>
      </w:r>
      <w:r w:rsidR="00E06942">
        <w:t>прав людини</w:t>
      </w:r>
      <w:r>
        <w:t xml:space="preserve"> прийнята резолюціє</w:t>
      </w:r>
      <w:r>
        <w:t>ю 217 (II</w:t>
      </w:r>
      <w:r w:rsidR="00E06942">
        <w:t>І)</w:t>
      </w:r>
      <w:r>
        <w:t xml:space="preserve"> Гене</w:t>
      </w:r>
      <w:r w:rsidR="00E06942">
        <w:t>ральної</w:t>
      </w:r>
    </w:p>
    <w:p w:rsidR="00537CE7" w:rsidRDefault="00537CE7">
      <w:pPr>
        <w:rPr>
          <w:sz w:val="2"/>
          <w:szCs w:val="2"/>
        </w:rPr>
        <w:sectPr w:rsidR="00537C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CE7" w:rsidRDefault="00DF56D4">
      <w:pPr>
        <w:pStyle w:val="a5"/>
        <w:framePr w:wrap="none" w:vAnchor="page" w:hAnchor="page" w:x="1649" w:y="1438"/>
        <w:shd w:val="clear" w:color="auto" w:fill="auto"/>
        <w:spacing w:line="140" w:lineRule="exact"/>
      </w:pPr>
      <w:proofErr w:type="spellStart"/>
      <w:r>
        <w:lastRenderedPageBreak/>
        <w:t>ІІ.Фріс</w:t>
      </w:r>
      <w:proofErr w:type="spellEnd"/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</w:pPr>
      <w:r>
        <w:t>асамблеї 00Н від 10 грудня 1948 р., закони України “Про імміграцію" від 7 червня 2001 р. та “Про біженців" у редакції від 21 червня 2001 р. та ін.</w:t>
      </w:r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  <w:ind w:firstLine="380"/>
      </w:pPr>
      <w:r>
        <w:t>Детальніше ця система координат дій кри</w:t>
      </w:r>
      <w:r>
        <w:softHyphen/>
        <w:t>мінального закону</w:t>
      </w:r>
      <w:r>
        <w:t xml:space="preserve"> (час — простір — коло осіб) закріплена у конкретних статтях як Загальної, так і Особливої частини КК, які передбачають відповідальність за окремі злочини. Саме на підставі обмеження цих координат і побудова</w:t>
      </w:r>
      <w:r>
        <w:softHyphen/>
        <w:t>но інститут обмеження дії закону про кримі</w:t>
      </w:r>
      <w:r>
        <w:softHyphen/>
        <w:t>нальн</w:t>
      </w:r>
      <w:r>
        <w:t>у відповідальність.</w:t>
      </w:r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  <w:ind w:firstLine="380"/>
      </w:pPr>
      <w:r>
        <w:t>Слід зауважити, що перше таке обмеження міститься вже у ч. З ст. 2 КК, яка визначає, шо: “Ніхто не може бути притягнений до кримі</w:t>
      </w:r>
      <w:r>
        <w:softHyphen/>
        <w:t>нальної відповідальності за той самий злочин більше одного разу". Постає питання — де тут обмеження? А якщ</w:t>
      </w:r>
      <w:r>
        <w:t>о за цей злочин відповідаль</w:t>
      </w:r>
      <w:r>
        <w:softHyphen/>
        <w:t>ність настала за кордоном і національний КК взагалі не застосовувався? Він не поширюється на такі випадки. Сфера його застосування обмежена!</w:t>
      </w:r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  <w:ind w:firstLine="380"/>
      </w:pPr>
      <w:r>
        <w:t>Наступний випадок обмеження сфери дії кримінального закону зафіксований у ч. 2 ст. 14 К</w:t>
      </w:r>
      <w:r>
        <w:t>К “Готування до злочину”, яка обмежує сферу застосування закону про кримінальну відпові</w:t>
      </w:r>
      <w:r>
        <w:softHyphen/>
        <w:t>дальність лише випадками готування до вчи</w:t>
      </w:r>
      <w:r>
        <w:softHyphen/>
        <w:t>нення злочинів середньої тяжкості, тяжких та особливо тяжких злочинів.</w:t>
      </w:r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  <w:ind w:firstLine="380"/>
      </w:pPr>
      <w:r>
        <w:t>Особливе місце займає добровільна відмо</w:t>
      </w:r>
      <w:r>
        <w:softHyphen/>
        <w:t>ва при незакінч</w:t>
      </w:r>
      <w:r>
        <w:t>еному злочині (статті 17 та 31 КК), яка обмежує можливості застосування закону про кримінальну відповідальність межами правомірності добровільної відмови. Про те, що добровільна відмова належить саме до інституту, що аналізується, а не до інституту звільне</w:t>
      </w:r>
      <w:r>
        <w:t xml:space="preserve">ння від </w:t>
      </w:r>
      <w:r w:rsidRPr="00E06942">
        <w:rPr>
          <w:rStyle w:val="25"/>
          <w:b w:val="0"/>
        </w:rPr>
        <w:t>кримінальної</w:t>
      </w:r>
      <w:r>
        <w:rPr>
          <w:rStyle w:val="25"/>
        </w:rPr>
        <w:t xml:space="preserve"> </w:t>
      </w:r>
      <w:r>
        <w:t>відповідальності, свідчить і той факт, що ні норми не включені до розділу IX, а перебувають у розділах III та VI КК України.</w:t>
      </w:r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  <w:ind w:firstLine="380"/>
      </w:pPr>
      <w:r>
        <w:t>Обмеження сфери дії закону про кримі</w:t>
      </w:r>
      <w:r>
        <w:softHyphen/>
        <w:t xml:space="preserve">нальну відповідальність зафіксовано в нормах </w:t>
      </w:r>
      <w:proofErr w:type="spellStart"/>
      <w:r>
        <w:t>чч</w:t>
      </w:r>
      <w:proofErr w:type="spellEnd"/>
      <w:r>
        <w:t>. 6 та 7 ст. 27 КК, які об</w:t>
      </w:r>
      <w:r>
        <w:t>межують загальне правило визнання особи співучасником злочи</w:t>
      </w:r>
      <w:r>
        <w:softHyphen/>
        <w:t>ну лише конкретними випадками, передбаче</w:t>
      </w:r>
      <w:r>
        <w:softHyphen/>
        <w:t>ними чинним кримінальним законодавством.</w:t>
      </w:r>
    </w:p>
    <w:p w:rsidR="00537CE7" w:rsidRDefault="00DF56D4">
      <w:pPr>
        <w:pStyle w:val="22"/>
        <w:framePr w:w="3869" w:h="11515" w:hRule="exact" w:wrap="none" w:vAnchor="page" w:hAnchor="page" w:x="1621" w:y="1771"/>
        <w:shd w:val="clear" w:color="auto" w:fill="auto"/>
        <w:spacing w:after="0"/>
        <w:ind w:firstLine="380"/>
      </w:pPr>
      <w:r>
        <w:t xml:space="preserve">До кола норм, що утворюють </w:t>
      </w:r>
      <w:r>
        <w:rPr>
          <w:rStyle w:val="275pt0pt"/>
        </w:rPr>
        <w:t xml:space="preserve">інститут. </w:t>
      </w:r>
      <w:r>
        <w:t>який аналізується, входить ряд норм розділу X КК “Покарання та його види". До</w:t>
      </w:r>
      <w:r>
        <w:t xml:space="preserve"> них. зокрема, належать: ч. З ст. 56 КК “Громадські роботи" (встановлення обмежень щодо призначення нього виду покарання — </w:t>
      </w:r>
      <w:proofErr w:type="spellStart"/>
      <w:r>
        <w:t>непризначення</w:t>
      </w:r>
      <w:proofErr w:type="spellEnd"/>
      <w:r>
        <w:t xml:space="preserve"> його особам, визнаним інвалідами першої або другої</w:t>
      </w:r>
    </w:p>
    <w:p w:rsidR="00537CE7" w:rsidRDefault="00DF56D4">
      <w:pPr>
        <w:pStyle w:val="22"/>
        <w:framePr w:w="3888" w:h="11516" w:hRule="exact" w:wrap="none" w:vAnchor="page" w:hAnchor="page" w:x="5662" w:y="1776"/>
        <w:shd w:val="clear" w:color="auto" w:fill="auto"/>
        <w:spacing w:after="0"/>
      </w:pPr>
      <w:r>
        <w:t>групи, вагітним жінкам, особам, які досягли пенсійного віку, військо</w:t>
      </w:r>
      <w:r>
        <w:t>вослужбовцям строко</w:t>
      </w:r>
      <w:r>
        <w:softHyphen/>
        <w:t>вої служби); ч. 2 ст. 57 “Виправні роботи” (обмеження застосування до вагітних жінок та жінок, які перебувають у відпустці по догляду за дитиною, до непрацездатних, до осіб, що не досягли шістнадцяти років, та тих, що досягли пенсійного</w:t>
      </w:r>
      <w:r>
        <w:t xml:space="preserve"> віку, а також до військовослужбов</w:t>
      </w:r>
      <w:r>
        <w:softHyphen/>
        <w:t>ців, працівників правоохоронних органів, нота</w:t>
      </w:r>
      <w:r>
        <w:softHyphen/>
        <w:t>ріусів. суддів, прокурорів, адвокатів, держав</w:t>
      </w:r>
      <w:r>
        <w:softHyphen/>
        <w:t>них службовців, посадових осіб органів місце</w:t>
      </w:r>
      <w:r>
        <w:softHyphen/>
        <w:t>вого самоврядування): ч. З ст. 60 “Арешт” (обмеження застосування до осіб віком до ш</w:t>
      </w:r>
      <w:r>
        <w:t>істнадцяти років, вагітних жінок та до жінок, які мають дітей віком до семи років); ч. З ст. 61 "Обмеження волі” (обмеження застосування до неповнолітніх, вагітних жінок і жінок, що мають дітей віком до чотирнадцяти років, до осіб, які досягли пенсійного в</w:t>
      </w:r>
      <w:r>
        <w:t>іку, військово</w:t>
      </w:r>
      <w:r>
        <w:softHyphen/>
        <w:t>службовців строкової служби та до інвалідів першої і другої групи) та норма ч. 2 ст. 64 “Довічне позбавлення волі” (обмеження застосування цього виду покарання щодо осіб, які вчинили злочини V віці до 18 років і до осіб у віці понад 65 років</w:t>
      </w:r>
      <w:r>
        <w:t>, а також до жінок, що були в стані вагітності під час вчинення злочину або на момент постановлення вироку).</w:t>
      </w:r>
    </w:p>
    <w:p w:rsidR="00537CE7" w:rsidRDefault="00DF56D4">
      <w:pPr>
        <w:pStyle w:val="22"/>
        <w:framePr w:w="3888" w:h="11516" w:hRule="exact" w:wrap="none" w:vAnchor="page" w:hAnchor="page" w:x="5662" w:y="1776"/>
        <w:shd w:val="clear" w:color="auto" w:fill="auto"/>
        <w:spacing w:after="0"/>
        <w:ind w:firstLine="380"/>
      </w:pPr>
      <w:r>
        <w:t>Обмеження сфери дії закону про кримі</w:t>
      </w:r>
      <w:r>
        <w:softHyphen/>
        <w:t>нальну відповідальність встановлено ч. 5 ст. 49 та ч. 6 ст. 80 КК, яка обмежує застосування дав</w:t>
      </w:r>
      <w:r>
        <w:softHyphen/>
        <w:t>ності притягне</w:t>
      </w:r>
      <w:r>
        <w:t>ння до кримінальної відпові</w:t>
      </w:r>
      <w:r>
        <w:softHyphen/>
        <w:t>дальності та звільнення від відбування пока</w:t>
      </w:r>
      <w:r>
        <w:softHyphen/>
        <w:t>рання у зв'язку із закінченням строків давності виконання обвинувального вироку у разі вчи</w:t>
      </w:r>
      <w:r>
        <w:softHyphen/>
        <w:t>нення злочину або засудження за злочини проти миру та безпеки людства, передбачені статтями 4</w:t>
      </w:r>
      <w:r>
        <w:t>37—439 та ч. 1 ст. 442 КК.</w:t>
      </w:r>
    </w:p>
    <w:p w:rsidR="00537CE7" w:rsidRDefault="00DF56D4">
      <w:pPr>
        <w:pStyle w:val="22"/>
        <w:framePr w:w="3888" w:h="11516" w:hRule="exact" w:wrap="none" w:vAnchor="page" w:hAnchor="page" w:x="5662" w:y="1776"/>
        <w:shd w:val="clear" w:color="auto" w:fill="auto"/>
        <w:spacing w:after="0"/>
        <w:ind w:firstLine="380"/>
      </w:pPr>
      <w:r>
        <w:t>В Особливій частині КК коло норм, які ство</w:t>
      </w:r>
      <w:r>
        <w:softHyphen/>
        <w:t>рюють цей інститут, досить обмежене. До нього входять лише норми двох статей цієї частини: ч. 2 ст. 385 КК “Відмова свідка від давання показань або відмова експерта чи перекладача від ви</w:t>
      </w:r>
      <w:r>
        <w:t>конан</w:t>
      </w:r>
      <w:r>
        <w:softHyphen/>
        <w:t>ня покладених на них обов'язків” та ч. 2 ст. 396 КК “Приховування злочину”*.</w:t>
      </w:r>
    </w:p>
    <w:p w:rsidR="00537CE7" w:rsidRDefault="00DF56D4">
      <w:pPr>
        <w:pStyle w:val="22"/>
        <w:framePr w:w="3888" w:h="11516" w:hRule="exact" w:wrap="none" w:vAnchor="page" w:hAnchor="page" w:x="5662" w:y="1776"/>
        <w:shd w:val="clear" w:color="auto" w:fill="auto"/>
        <w:spacing w:after="0"/>
        <w:ind w:firstLine="380"/>
      </w:pPr>
      <w:r>
        <w:t>Вказані норми КК, визначаючи межі кри</w:t>
      </w:r>
      <w:r>
        <w:softHyphen/>
        <w:t>мінальної відповідальності, суттєво обмежують сферу власного застосування.</w:t>
      </w:r>
    </w:p>
    <w:p w:rsidR="00537CE7" w:rsidRDefault="00DF56D4">
      <w:pPr>
        <w:pStyle w:val="22"/>
        <w:framePr w:w="3888" w:h="11516" w:hRule="exact" w:wrap="none" w:vAnchor="page" w:hAnchor="page" w:x="5662" w:y="1776"/>
        <w:shd w:val="clear" w:color="auto" w:fill="auto"/>
        <w:spacing w:after="0"/>
        <w:ind w:firstLine="380"/>
      </w:pPr>
      <w:r>
        <w:t>Сфера дії кримінально-правової норми встановлюється насампер</w:t>
      </w:r>
      <w:r>
        <w:t>ед її диспозицією. Саме у цьому елементі норми визначаються всі характеристики конкретного складу злочину, що і обумовлює межі кримінальної відпові</w:t>
      </w:r>
      <w:r>
        <w:softHyphen/>
        <w:t>дальності, які визначаються в диспозиціях</w:t>
      </w:r>
    </w:p>
    <w:p w:rsidR="00537CE7" w:rsidRPr="00E06942" w:rsidRDefault="00DF56D4">
      <w:pPr>
        <w:pStyle w:val="60"/>
        <w:framePr w:w="7891" w:h="389" w:hRule="exact" w:wrap="none" w:vAnchor="page" w:hAnchor="page" w:x="1635" w:y="13560"/>
        <w:shd w:val="clear" w:color="auto" w:fill="auto"/>
        <w:rPr>
          <w:i w:val="0"/>
        </w:rPr>
      </w:pPr>
      <w:r>
        <w:t xml:space="preserve">* </w:t>
      </w:r>
      <w:r w:rsidRPr="00E06942">
        <w:rPr>
          <w:i w:val="0"/>
        </w:rPr>
        <w:t>Слі</w:t>
      </w:r>
      <w:r w:rsidR="00E06942" w:rsidRPr="00E06942">
        <w:rPr>
          <w:i w:val="0"/>
        </w:rPr>
        <w:t>д</w:t>
      </w:r>
      <w:r w:rsidRPr="00E06942">
        <w:rPr>
          <w:i w:val="0"/>
        </w:rPr>
        <w:t xml:space="preserve"> зазначити, шо у первинному тексті КК 2001 р. </w:t>
      </w:r>
      <w:r w:rsidR="00E06942" w:rsidRPr="00E06942">
        <w:rPr>
          <w:i w:val="0"/>
        </w:rPr>
        <w:t>д</w:t>
      </w:r>
      <w:r w:rsidRPr="00E06942">
        <w:rPr>
          <w:i w:val="0"/>
        </w:rPr>
        <w:t>о цього інсти</w:t>
      </w:r>
      <w:r w:rsidRPr="00E06942">
        <w:rPr>
          <w:i w:val="0"/>
        </w:rPr>
        <w:t>туту належала також</w:t>
      </w:r>
      <w:r w:rsidRPr="00E06942">
        <w:rPr>
          <w:i w:val="0"/>
          <w:iCs w:val="0"/>
        </w:rPr>
        <w:t xml:space="preserve"> норма</w:t>
      </w:r>
      <w:r w:rsidRPr="00E06942">
        <w:rPr>
          <w:rStyle w:val="6TimesNewRoman7pt"/>
          <w:rFonts w:eastAsia="Lucida Sans Unicode"/>
          <w:i/>
        </w:rPr>
        <w:t xml:space="preserve"> </w:t>
      </w:r>
      <w:r w:rsidRPr="00E06942">
        <w:rPr>
          <w:i w:val="0"/>
        </w:rPr>
        <w:t>ч. 4 ст. 33</w:t>
      </w:r>
      <w:r w:rsidR="00E06942">
        <w:rPr>
          <w:i w:val="0"/>
        </w:rPr>
        <w:t>1</w:t>
      </w:r>
      <w:r w:rsidRPr="00E06942">
        <w:rPr>
          <w:rStyle w:val="6TimesNewRoman7pt"/>
          <w:rFonts w:eastAsia="Lucida Sans Unicode"/>
          <w:i/>
        </w:rPr>
        <w:t xml:space="preserve"> </w:t>
      </w:r>
      <w:r w:rsidRPr="00E06942">
        <w:rPr>
          <w:i w:val="0"/>
        </w:rPr>
        <w:t>"Незаконне пере</w:t>
      </w:r>
      <w:r w:rsidRPr="00E06942">
        <w:rPr>
          <w:i w:val="0"/>
        </w:rPr>
        <w:softHyphen/>
        <w:t xml:space="preserve">тинання </w:t>
      </w:r>
      <w:r w:rsidR="00E06942" w:rsidRPr="00E06942">
        <w:rPr>
          <w:i w:val="0"/>
        </w:rPr>
        <w:t>д</w:t>
      </w:r>
      <w:r w:rsidRPr="00E06942">
        <w:rPr>
          <w:i w:val="0"/>
        </w:rPr>
        <w:t>ержавного кор</w:t>
      </w:r>
      <w:r w:rsidR="00E06942" w:rsidRPr="00E06942">
        <w:rPr>
          <w:i w:val="0"/>
        </w:rPr>
        <w:t>д</w:t>
      </w:r>
      <w:r w:rsidRPr="00E06942">
        <w:rPr>
          <w:i w:val="0"/>
        </w:rPr>
        <w:t>ону".</w:t>
      </w:r>
    </w:p>
    <w:p w:rsidR="00537CE7" w:rsidRDefault="00DF56D4">
      <w:pPr>
        <w:pStyle w:val="a5"/>
        <w:framePr w:wrap="none" w:vAnchor="page" w:hAnchor="page" w:x="1640" w:y="14317"/>
        <w:shd w:val="clear" w:color="auto" w:fill="auto"/>
        <w:spacing w:line="140" w:lineRule="exact"/>
      </w:pPr>
      <w:r>
        <w:t>142</w:t>
      </w:r>
    </w:p>
    <w:p w:rsidR="00537CE7" w:rsidRDefault="00537CE7">
      <w:pPr>
        <w:rPr>
          <w:sz w:val="2"/>
          <w:szCs w:val="2"/>
        </w:rPr>
        <w:sectPr w:rsidR="00537CE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CE7" w:rsidRDefault="00DF56D4">
      <w:pPr>
        <w:pStyle w:val="a5"/>
        <w:framePr w:wrap="none" w:vAnchor="page" w:hAnchor="page" w:x="5636" w:y="2237"/>
        <w:shd w:val="clear" w:color="auto" w:fill="auto"/>
        <w:spacing w:line="140" w:lineRule="exact"/>
      </w:pPr>
      <w:r>
        <w:lastRenderedPageBreak/>
        <w:t>Інститут обмеження сфери дії законодавства про кримінальну відповідальність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</w:pPr>
      <w:r>
        <w:t>частин перших вказаних норм Особливої частини КК.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  <w:ind w:firstLine="380"/>
      </w:pPr>
      <w:r>
        <w:t xml:space="preserve">Приміром, ч. 1 ст. 385 </w:t>
      </w:r>
      <w:r>
        <w:t>“Відмова свідка від давання показань або відмова експерта чи пере</w:t>
      </w:r>
      <w:r>
        <w:softHyphen/>
        <w:t>кладача від виконання покладених на них обов'яз</w:t>
      </w:r>
      <w:r>
        <w:softHyphen/>
        <w:t>ків” встановлює відповідальність за відмову “свід</w:t>
      </w:r>
      <w:r>
        <w:softHyphen/>
        <w:t>ка від давання показань або відмову експерта чи перекладача без поважних причин від виконанн</w:t>
      </w:r>
      <w:r>
        <w:t>я покладених на них обов’язків у суді або під час провадження досудового слідства, розслідування тимчасовою слідчою чи тимчасовою спеціальною комісією Верховної Ради України чи дізнання".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  <w:ind w:firstLine="380"/>
      </w:pPr>
      <w:r>
        <w:t>Норма ч. 1 ст. 396 “Приховування злочину" встановлює кримінальну від</w:t>
      </w:r>
      <w:r>
        <w:t>повідальність за заздалегідь не обіцяне приховування тяжкого чи особливо тяжкого злочину.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  <w:ind w:firstLine="380"/>
      </w:pPr>
      <w:r>
        <w:t>Як бачимо, межі дії цих норм сконструйо</w:t>
      </w:r>
      <w:r>
        <w:softHyphen/>
        <w:t>вані за загальними правилами.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  <w:ind w:firstLine="380"/>
      </w:pPr>
      <w:r>
        <w:t>Однак другі частини вказаних статей КК визначають ситуації, в яких норми частин пер</w:t>
      </w:r>
      <w:r>
        <w:softHyphen/>
        <w:t>ших не діють</w:t>
      </w:r>
      <w:r>
        <w:t>, пов’язуючи їх із характеристика</w:t>
      </w:r>
      <w:r>
        <w:softHyphen/>
        <w:t>ми зв’язків суб’єкта злочину з особами, стосовно яких він відмовляється від дачі показань або експертного висновку чи здійснює дії по зазда</w:t>
      </w:r>
      <w:r>
        <w:softHyphen/>
        <w:t>легідь не обіцяному приховуванню злочину. В ч. 2 ст. 385 КК це обмеження визначено</w:t>
      </w:r>
      <w:r>
        <w:t xml:space="preserve"> так: “Не підлягає кримінальній відповідальності особа за відмову давати показання під час провадження дізнання, досудового слідства або в суді щодо себе, а також членів її сім’ї чи близьких родичів, коло яких визначається законом”.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  <w:ind w:firstLine="380"/>
      </w:pPr>
      <w:r>
        <w:t>Практично так само визн</w:t>
      </w:r>
      <w:r>
        <w:t>ачаються межі дії диспозиції і в ч. 2 ст. 396 КК.</w:t>
      </w:r>
    </w:p>
    <w:p w:rsidR="00537CE7" w:rsidRDefault="00DF56D4" w:rsidP="00E06942">
      <w:pPr>
        <w:pStyle w:val="22"/>
        <w:framePr w:w="3869" w:h="7459" w:hRule="exact" w:wrap="none" w:vAnchor="page" w:hAnchor="page" w:x="2593" w:y="2572"/>
        <w:shd w:val="clear" w:color="auto" w:fill="auto"/>
        <w:spacing w:after="0" w:line="202" w:lineRule="exact"/>
        <w:ind w:firstLine="380"/>
      </w:pPr>
      <w:r>
        <w:t>Слід зауважити, що до цього інституту примикає норма ст. 63 Конституції України,</w:t>
      </w:r>
    </w:p>
    <w:p w:rsidR="00537CE7" w:rsidRDefault="00DF56D4">
      <w:pPr>
        <w:pStyle w:val="22"/>
        <w:framePr w:w="3869" w:h="7145" w:hRule="exact" w:wrap="none" w:vAnchor="page" w:hAnchor="page" w:x="6740" w:y="2577"/>
        <w:shd w:val="clear" w:color="auto" w:fill="auto"/>
        <w:spacing w:after="0" w:line="202" w:lineRule="exact"/>
      </w:pPr>
      <w:r>
        <w:t>яка встановлює право особи відмовитись від дачі показів стосовно себе та близьких родичів, коло яких визначається законом.</w:t>
      </w:r>
    </w:p>
    <w:p w:rsidR="00537CE7" w:rsidRDefault="00DF56D4">
      <w:pPr>
        <w:pStyle w:val="22"/>
        <w:framePr w:w="3869" w:h="7145" w:hRule="exact" w:wrap="none" w:vAnchor="page" w:hAnchor="page" w:x="6740" w:y="2577"/>
        <w:shd w:val="clear" w:color="auto" w:fill="auto"/>
        <w:spacing w:after="0" w:line="202" w:lineRule="exact"/>
        <w:ind w:firstLine="380"/>
      </w:pPr>
      <w:r>
        <w:t>За</w:t>
      </w:r>
      <w:r>
        <w:t xml:space="preserve"> своєю правовою природою інститут обмеження дії законодавства про кримінальну відповідальність наближений до інституту обставин, що виключають злочинність діяння. Ця подібність полягає у тому, що:</w:t>
      </w:r>
    </w:p>
    <w:p w:rsidR="00537CE7" w:rsidRDefault="00DF56D4">
      <w:pPr>
        <w:pStyle w:val="22"/>
        <w:framePr w:w="3869" w:h="7145" w:hRule="exact" w:wrap="none" w:vAnchor="page" w:hAnchor="page" w:x="6740" w:y="2577"/>
        <w:numPr>
          <w:ilvl w:val="0"/>
          <w:numId w:val="4"/>
        </w:numPr>
        <w:shd w:val="clear" w:color="auto" w:fill="auto"/>
        <w:tabs>
          <w:tab w:val="left" w:pos="601"/>
        </w:tabs>
        <w:spacing w:after="0" w:line="202" w:lineRule="exact"/>
        <w:ind w:firstLine="380"/>
      </w:pPr>
      <w:r>
        <w:t>у всіх випадках як при вчиненні діянь, які утворюють інстит</w:t>
      </w:r>
      <w:r>
        <w:t>ут обставин, що виключа</w:t>
      </w:r>
      <w:r>
        <w:softHyphen/>
        <w:t>ють кримінальну відповідальність, так і при вчиненні діянь, які об’єднуються інститутом обмеження дії законодавства про кримінальну відповідальність, особа вчиняє діяння, які ззов</w:t>
      </w:r>
      <w:r>
        <w:softHyphen/>
        <w:t xml:space="preserve">ні за своєю об'єктивною характеристикою належать до </w:t>
      </w:r>
      <w:r>
        <w:t>категорії суспільно небезпечних;</w:t>
      </w:r>
    </w:p>
    <w:p w:rsidR="00537CE7" w:rsidRDefault="00DF56D4">
      <w:pPr>
        <w:pStyle w:val="22"/>
        <w:framePr w:w="3869" w:h="7145" w:hRule="exact" w:wrap="none" w:vAnchor="page" w:hAnchor="page" w:x="6740" w:y="2577"/>
        <w:numPr>
          <w:ilvl w:val="0"/>
          <w:numId w:val="4"/>
        </w:numPr>
        <w:shd w:val="clear" w:color="auto" w:fill="auto"/>
        <w:tabs>
          <w:tab w:val="left" w:pos="606"/>
        </w:tabs>
        <w:spacing w:after="0" w:line="202" w:lineRule="exact"/>
        <w:ind w:firstLine="380"/>
      </w:pPr>
      <w:r>
        <w:t>усі ці діяння з точки зору характеристи</w:t>
      </w:r>
      <w:r>
        <w:softHyphen/>
        <w:t>ки суб'єктивної сторони вчинюються умисно.</w:t>
      </w:r>
    </w:p>
    <w:p w:rsidR="00537CE7" w:rsidRDefault="00DF56D4">
      <w:pPr>
        <w:pStyle w:val="22"/>
        <w:framePr w:w="3869" w:h="7145" w:hRule="exact" w:wrap="none" w:vAnchor="page" w:hAnchor="page" w:x="6740" w:y="2577"/>
        <w:shd w:val="clear" w:color="auto" w:fill="auto"/>
        <w:spacing w:after="0" w:line="202" w:lineRule="exact"/>
        <w:ind w:firstLine="380"/>
      </w:pPr>
      <w:r>
        <w:t>Однак між ними групами діянь існує і від</w:t>
      </w:r>
      <w:r>
        <w:softHyphen/>
        <w:t xml:space="preserve">мінність, яка не дозволяє об'єднати їх в один інститут. Вона полягає в їх соціально-правовій </w:t>
      </w:r>
      <w:r>
        <w:t xml:space="preserve">характеристиці. Якщо діяння, які утворюють інститут обставин, що виключають </w:t>
      </w:r>
      <w:proofErr w:type="spellStart"/>
      <w:r>
        <w:t>протиправ</w:t>
      </w:r>
      <w:proofErr w:type="spellEnd"/>
      <w:r>
        <w:t xml:space="preserve">- </w:t>
      </w:r>
      <w:proofErr w:type="spellStart"/>
      <w:r>
        <w:t>ність</w:t>
      </w:r>
      <w:proofErr w:type="spellEnd"/>
      <w:r>
        <w:t xml:space="preserve"> діяння за своєю соціально-правовою характеристикою, належать до категорії соціаль</w:t>
      </w:r>
      <w:r>
        <w:softHyphen/>
        <w:t>но корисних, то діяння, що входять до інституту обмеження дії законодавства про к</w:t>
      </w:r>
      <w:r>
        <w:t>римінальну відповідальність, такими визнати неможливо.</w:t>
      </w:r>
    </w:p>
    <w:p w:rsidR="00537CE7" w:rsidRDefault="00DF56D4">
      <w:pPr>
        <w:pStyle w:val="22"/>
        <w:framePr w:w="3869" w:h="7145" w:hRule="exact" w:wrap="none" w:vAnchor="page" w:hAnchor="page" w:x="6740" w:y="2577"/>
        <w:shd w:val="clear" w:color="auto" w:fill="auto"/>
        <w:spacing w:after="0" w:line="202" w:lineRule="exact"/>
        <w:ind w:firstLine="380"/>
      </w:pPr>
      <w:r>
        <w:t>Інститут обмеження дії закону про кримі</w:t>
      </w:r>
      <w:r>
        <w:softHyphen/>
        <w:t>нальну відповідальність за своїми характери</w:t>
      </w:r>
      <w:r>
        <w:softHyphen/>
        <w:t>стиками максимально наближений до інститу</w:t>
      </w:r>
      <w:r>
        <w:softHyphen/>
        <w:t>ту звільнення від кримінальної відповідально</w:t>
      </w:r>
      <w:r>
        <w:softHyphen/>
        <w:t>сті, але не ідентичний йому.</w:t>
      </w:r>
    </w:p>
    <w:p w:rsidR="00537CE7" w:rsidRDefault="00DF56D4">
      <w:pPr>
        <w:pStyle w:val="22"/>
        <w:framePr w:w="3869" w:h="7145" w:hRule="exact" w:wrap="none" w:vAnchor="page" w:hAnchor="page" w:x="6740" w:y="2577"/>
        <w:shd w:val="clear" w:color="auto" w:fill="auto"/>
        <w:spacing w:after="0" w:line="202" w:lineRule="exact"/>
        <w:ind w:firstLine="380"/>
      </w:pPr>
      <w:r>
        <w:t>В</w:t>
      </w:r>
      <w:r>
        <w:t>ідмінності цих двох інститутів закону про кримінальну відповідальність наступні: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3936"/>
      </w:tblGrid>
      <w:tr w:rsidR="00537CE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CE7" w:rsidRDefault="00DF56D4" w:rsidP="00E06942">
            <w:pPr>
              <w:pStyle w:val="22"/>
              <w:framePr w:w="7867" w:h="4632" w:wrap="none" w:vAnchor="page" w:hAnchor="page" w:x="2727" w:y="10164"/>
              <w:shd w:val="clear" w:color="auto" w:fill="auto"/>
              <w:spacing w:after="0" w:line="221" w:lineRule="exact"/>
              <w:jc w:val="center"/>
            </w:pPr>
            <w:r>
              <w:rPr>
                <w:rStyle w:val="27"/>
              </w:rPr>
              <w:t>Інститут обмеження дії законодавства про кримінальну відповідальність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CE7" w:rsidRDefault="00DF56D4" w:rsidP="00E06942">
            <w:pPr>
              <w:pStyle w:val="22"/>
              <w:framePr w:w="7867" w:h="4632" w:wrap="none" w:vAnchor="page" w:hAnchor="page" w:x="2727" w:y="10164"/>
              <w:shd w:val="clear" w:color="auto" w:fill="auto"/>
              <w:spacing w:after="0" w:line="221" w:lineRule="exact"/>
              <w:jc w:val="center"/>
            </w:pPr>
            <w:r>
              <w:rPr>
                <w:rStyle w:val="27"/>
              </w:rPr>
              <w:t>Інститут звільнення від кримінальної відпо</w:t>
            </w:r>
            <w:r>
              <w:rPr>
                <w:rStyle w:val="27"/>
              </w:rPr>
              <w:softHyphen/>
              <w:t>відальності</w:t>
            </w:r>
          </w:p>
        </w:tc>
      </w:tr>
      <w:tr w:rsidR="00537CE7">
        <w:tblPrEx>
          <w:tblCellMar>
            <w:top w:w="0" w:type="dxa"/>
            <w:bottom w:w="0" w:type="dxa"/>
          </w:tblCellMar>
        </w:tblPrEx>
        <w:trPr>
          <w:trHeight w:hRule="exact" w:val="411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after="0" w:line="197" w:lineRule="exact"/>
              <w:ind w:firstLine="240"/>
            </w:pPr>
            <w:r>
              <w:rPr>
                <w:rStyle w:val="27"/>
              </w:rPr>
              <w:t>Інститут обмеження дії закону про кри</w:t>
            </w:r>
            <w:r>
              <w:rPr>
                <w:rStyle w:val="27"/>
              </w:rPr>
              <w:softHyphen/>
              <w:t xml:space="preserve">мінальну </w:t>
            </w:r>
            <w:r>
              <w:rPr>
                <w:rStyle w:val="27"/>
              </w:rPr>
              <w:t>відповідальність базується на нор</w:t>
            </w:r>
            <w:r>
              <w:rPr>
                <w:rStyle w:val="27"/>
              </w:rPr>
              <w:softHyphen/>
              <w:t>мах Конституції України, які визначають його практично в повному обсязі.</w:t>
            </w:r>
          </w:p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5"/>
              </w:numPr>
              <w:shd w:val="clear" w:color="auto" w:fill="auto"/>
              <w:tabs>
                <w:tab w:val="left" w:pos="422"/>
              </w:tabs>
              <w:spacing w:after="0" w:line="197" w:lineRule="exact"/>
              <w:ind w:firstLine="240"/>
            </w:pPr>
            <w:r>
              <w:rPr>
                <w:rStyle w:val="27"/>
              </w:rPr>
              <w:t>Інститут обмеження дії закону про кри</w:t>
            </w:r>
            <w:r>
              <w:rPr>
                <w:rStyle w:val="27"/>
              </w:rPr>
              <w:softHyphen/>
              <w:t>мінальну відповідальність не визнає злочин</w:t>
            </w:r>
            <w:r>
              <w:rPr>
                <w:rStyle w:val="27"/>
              </w:rPr>
              <w:softHyphen/>
              <w:t>ними діяння, які за характеристиками скла</w:t>
            </w:r>
            <w:r>
              <w:rPr>
                <w:rStyle w:val="27"/>
              </w:rPr>
              <w:softHyphen/>
              <w:t xml:space="preserve">ду злочину, встановленого </w:t>
            </w:r>
            <w:r>
              <w:rPr>
                <w:rStyle w:val="27"/>
              </w:rPr>
              <w:t>диспозицією частини першої цієї статті, повинні визнава</w:t>
            </w:r>
            <w:r>
              <w:rPr>
                <w:rStyle w:val="27"/>
              </w:rPr>
              <w:softHyphen/>
              <w:t>тися злочинними. При цьому закон пов’язує декриміналізацію діяння з чітко визначени</w:t>
            </w:r>
            <w:r>
              <w:rPr>
                <w:rStyle w:val="27"/>
              </w:rPr>
              <w:softHyphen/>
              <w:t>ми характеристиками.</w:t>
            </w:r>
          </w:p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after="0" w:line="197" w:lineRule="exact"/>
              <w:ind w:firstLine="240"/>
            </w:pPr>
            <w:r>
              <w:rPr>
                <w:rStyle w:val="27"/>
              </w:rPr>
              <w:t>Інститут обмеження дії закону про кри</w:t>
            </w:r>
            <w:r>
              <w:rPr>
                <w:rStyle w:val="27"/>
              </w:rPr>
              <w:softHyphen/>
              <w:t>мінальну відповідальність адресований досить вузькому кол</w:t>
            </w:r>
            <w:r>
              <w:rPr>
                <w:rStyle w:val="27"/>
              </w:rPr>
              <w:t>у осіб, яке визначено у частинах других вказаних норм.</w:t>
            </w:r>
          </w:p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5"/>
              </w:numPr>
              <w:shd w:val="clear" w:color="auto" w:fill="auto"/>
              <w:tabs>
                <w:tab w:val="left" w:pos="422"/>
              </w:tabs>
              <w:spacing w:after="0" w:line="197" w:lineRule="exact"/>
              <w:ind w:firstLine="240"/>
            </w:pPr>
            <w:r>
              <w:rPr>
                <w:rStyle w:val="27"/>
              </w:rPr>
              <w:t xml:space="preserve">Обмеження дії закону про кримінальну відповідальність не пов’язано з </w:t>
            </w:r>
            <w:proofErr w:type="spellStart"/>
            <w:r>
              <w:rPr>
                <w:rStyle w:val="27"/>
              </w:rPr>
              <w:t>посткримі</w:t>
            </w:r>
            <w:proofErr w:type="spellEnd"/>
            <w:r>
              <w:rPr>
                <w:rStyle w:val="27"/>
              </w:rPr>
              <w:t xml:space="preserve">- </w:t>
            </w:r>
            <w:proofErr w:type="spellStart"/>
            <w:r>
              <w:rPr>
                <w:rStyle w:val="27"/>
              </w:rPr>
              <w:t>нальними</w:t>
            </w:r>
            <w:proofErr w:type="spellEnd"/>
            <w:r>
              <w:rPr>
                <w:rStyle w:val="27"/>
              </w:rPr>
              <w:t xml:space="preserve"> характеристиками ситуації, особи, її поведінки та ін.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after="0" w:line="197" w:lineRule="exact"/>
              <w:ind w:firstLine="280"/>
            </w:pPr>
            <w:r>
              <w:rPr>
                <w:rStyle w:val="27"/>
              </w:rPr>
              <w:t>Норми Конституції України прямо не регулюють звільнення ві</w:t>
            </w:r>
            <w:r>
              <w:rPr>
                <w:rStyle w:val="27"/>
              </w:rPr>
              <w:t>д кримінальної від</w:t>
            </w:r>
            <w:r>
              <w:rPr>
                <w:rStyle w:val="27"/>
              </w:rPr>
              <w:softHyphen/>
              <w:t>повідальності, хоча, закріплюючи демокра</w:t>
            </w:r>
            <w:r>
              <w:rPr>
                <w:rStyle w:val="27"/>
              </w:rPr>
              <w:softHyphen/>
              <w:t>тичні, гуманістичні принципи існування Української держави й суспільства, є джере</w:t>
            </w:r>
            <w:r>
              <w:rPr>
                <w:rStyle w:val="27"/>
              </w:rPr>
              <w:softHyphen/>
              <w:t>лом кримінального законодавства.</w:t>
            </w:r>
          </w:p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6"/>
              </w:numPr>
              <w:shd w:val="clear" w:color="auto" w:fill="auto"/>
              <w:tabs>
                <w:tab w:val="left" w:pos="432"/>
              </w:tabs>
              <w:spacing w:after="0" w:line="197" w:lineRule="exact"/>
              <w:ind w:firstLine="280"/>
            </w:pPr>
            <w:r>
              <w:rPr>
                <w:rStyle w:val="27"/>
              </w:rPr>
              <w:t>Інститут звільнення від кримінальної відповідальності не здійснює декриміналіза</w:t>
            </w:r>
            <w:bookmarkStart w:id="3" w:name="_GoBack"/>
            <w:bookmarkEnd w:id="3"/>
            <w:r>
              <w:rPr>
                <w:rStyle w:val="27"/>
              </w:rPr>
              <w:t>ції діяння, а лише звільняє конкретних осіб від відповідальності за реальний злочин, який ними було вчинено.</w:t>
            </w:r>
          </w:p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6"/>
              </w:numPr>
              <w:shd w:val="clear" w:color="auto" w:fill="auto"/>
              <w:tabs>
                <w:tab w:val="left" w:pos="422"/>
              </w:tabs>
              <w:spacing w:after="0" w:line="197" w:lineRule="exact"/>
              <w:ind w:firstLine="280"/>
            </w:pPr>
            <w:r>
              <w:rPr>
                <w:rStyle w:val="27"/>
              </w:rPr>
              <w:t>Інститут звільнення від кримінальної відповідальності адресований невизначеному колу суб'єктів, яке окреслено в досить загаль</w:t>
            </w:r>
            <w:r>
              <w:rPr>
                <w:rStyle w:val="27"/>
              </w:rPr>
              <w:softHyphen/>
              <w:t>них рисах.</w:t>
            </w:r>
          </w:p>
          <w:p w:rsidR="00537CE7" w:rsidRDefault="00DF56D4" w:rsidP="00E06942">
            <w:pPr>
              <w:pStyle w:val="22"/>
              <w:framePr w:w="7867" w:h="4632" w:wrap="none" w:vAnchor="page" w:hAnchor="page" w:x="2727" w:y="10164"/>
              <w:numPr>
                <w:ilvl w:val="0"/>
                <w:numId w:val="6"/>
              </w:numPr>
              <w:shd w:val="clear" w:color="auto" w:fill="auto"/>
              <w:tabs>
                <w:tab w:val="left" w:pos="422"/>
              </w:tabs>
              <w:spacing w:after="0" w:line="197" w:lineRule="exact"/>
              <w:ind w:firstLine="280"/>
            </w:pPr>
            <w:r>
              <w:rPr>
                <w:rStyle w:val="27"/>
              </w:rPr>
              <w:t>Інститут з</w:t>
            </w:r>
            <w:r>
              <w:rPr>
                <w:rStyle w:val="27"/>
              </w:rPr>
              <w:t xml:space="preserve">вільнення від кримінальної відповідальності тісно пов'язаний з </w:t>
            </w:r>
            <w:proofErr w:type="spellStart"/>
            <w:r>
              <w:rPr>
                <w:rStyle w:val="27"/>
              </w:rPr>
              <w:t>посткри</w:t>
            </w:r>
            <w:proofErr w:type="spellEnd"/>
            <w:r>
              <w:rPr>
                <w:rStyle w:val="27"/>
              </w:rPr>
              <w:t xml:space="preserve">- </w:t>
            </w:r>
            <w:proofErr w:type="spellStart"/>
            <w:r>
              <w:rPr>
                <w:rStyle w:val="27"/>
              </w:rPr>
              <w:t>мінальною</w:t>
            </w:r>
            <w:proofErr w:type="spellEnd"/>
            <w:r>
              <w:rPr>
                <w:rStyle w:val="27"/>
              </w:rPr>
              <w:t xml:space="preserve"> поведінкою особи.</w:t>
            </w:r>
          </w:p>
        </w:tc>
      </w:tr>
    </w:tbl>
    <w:p w:rsidR="00537CE7" w:rsidRDefault="00DF56D4">
      <w:pPr>
        <w:pStyle w:val="24"/>
        <w:framePr w:wrap="none" w:vAnchor="page" w:hAnchor="page" w:x="149" w:y="15079"/>
        <w:shd w:val="clear" w:color="auto" w:fill="auto"/>
        <w:spacing w:line="110" w:lineRule="exact"/>
      </w:pPr>
      <w:r>
        <w:t>•КРАЇНИ. 2007, № Ц</w:t>
      </w:r>
    </w:p>
    <w:p w:rsidR="00537CE7" w:rsidRDefault="00DF56D4">
      <w:pPr>
        <w:pStyle w:val="24"/>
        <w:framePr w:wrap="none" w:vAnchor="page" w:hAnchor="page" w:x="2689" w:y="15088"/>
        <w:shd w:val="clear" w:color="auto" w:fill="auto"/>
        <w:spacing w:line="110" w:lineRule="exact"/>
      </w:pPr>
      <w:r>
        <w:t>!55Х 0132-1331. ПРАВО УКРАЇНИ. 2007. № 11</w:t>
      </w:r>
    </w:p>
    <w:p w:rsidR="00537CE7" w:rsidRDefault="00537CE7">
      <w:pPr>
        <w:rPr>
          <w:sz w:val="2"/>
          <w:szCs w:val="2"/>
        </w:rPr>
      </w:pPr>
    </w:p>
    <w:sectPr w:rsidR="00537CE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D4" w:rsidRDefault="00DF56D4">
      <w:r>
        <w:separator/>
      </w:r>
    </w:p>
  </w:endnote>
  <w:endnote w:type="continuationSeparator" w:id="0">
    <w:p w:rsidR="00DF56D4" w:rsidRDefault="00DF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D4" w:rsidRDefault="00DF56D4"/>
  </w:footnote>
  <w:footnote w:type="continuationSeparator" w:id="0">
    <w:p w:rsidR="00DF56D4" w:rsidRDefault="00DF56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EE"/>
    <w:multiLevelType w:val="multilevel"/>
    <w:tmpl w:val="B7329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5537D"/>
    <w:multiLevelType w:val="multilevel"/>
    <w:tmpl w:val="3FF867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13596"/>
    <w:multiLevelType w:val="multilevel"/>
    <w:tmpl w:val="E1A4F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76988"/>
    <w:multiLevelType w:val="multilevel"/>
    <w:tmpl w:val="B610FA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D7D6D"/>
    <w:multiLevelType w:val="multilevel"/>
    <w:tmpl w:val="46547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94AA8"/>
    <w:multiLevelType w:val="multilevel"/>
    <w:tmpl w:val="81BA2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E7"/>
    <w:rsid w:val="00537CE7"/>
    <w:rsid w:val="00DF56D4"/>
    <w:rsid w:val="00E0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75pt0pt">
    <w:name w:val="Основной текст (2) + 7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6TimesNewRoman7pt">
    <w:name w:val="Основной текст (6) + Times New Roman;7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35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3" w:lineRule="exact"/>
      <w:jc w:val="both"/>
    </w:pPr>
    <w:rPr>
      <w:rFonts w:ascii="Lucida Sans Unicode" w:eastAsia="Lucida Sans Unicode" w:hAnsi="Lucida Sans Unicode" w:cs="Lucida Sans Unicode"/>
      <w:i/>
      <w:iCs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97" w:lineRule="exact"/>
      <w:ind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75pt0pt">
    <w:name w:val="Основной текст (2) + 7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6TimesNewRoman7pt">
    <w:name w:val="Основной текст (6) + Times New Roman;7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35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3" w:lineRule="exact"/>
      <w:jc w:val="both"/>
    </w:pPr>
    <w:rPr>
      <w:rFonts w:ascii="Lucida Sans Unicode" w:eastAsia="Lucida Sans Unicode" w:hAnsi="Lucida Sans Unicode" w:cs="Lucida Sans Unicode"/>
      <w:i/>
      <w:iCs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97" w:lineRule="exact"/>
      <w:ind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9168-FA7D-43D2-A430-C86C27F0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7153</Words>
  <Characters>4078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2020-04-03T08:25:00Z</dcterms:created>
  <dcterms:modified xsi:type="dcterms:W3CDTF">2020-04-03T08:34:00Z</dcterms:modified>
</cp:coreProperties>
</file>